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color w:val="auto"/>
          <w:sz w:val="32"/>
          <w:szCs w:val="32"/>
          <w:highlight w:val="none"/>
          <w:lang w:eastAsia="zh-CN"/>
        </w:rPr>
      </w:pPr>
      <w:r>
        <w:rPr>
          <w:rFonts w:hint="default" w:ascii="仿宋_GB2312" w:hAnsi="仿宋_GB2312" w:eastAsia="仿宋_GB2312" w:cs="仿宋_GB2312"/>
          <w:color w:val="auto"/>
          <w:sz w:val="32"/>
          <w:szCs w:val="32"/>
          <w:highlight w:val="none"/>
        </w:rPr>
        <w:t>包政</w:t>
      </w:r>
      <w:r>
        <w:rPr>
          <w:rFonts w:hint="eastAsia" w:ascii="仿宋_GB2312" w:hAnsi="仿宋_GB2312" w:eastAsia="仿宋_GB2312" w:cs="仿宋_GB2312"/>
          <w:color w:val="auto"/>
          <w:sz w:val="32"/>
          <w:szCs w:val="32"/>
          <w:highlight w:val="none"/>
          <w:lang w:eastAsia="zh-CN"/>
        </w:rPr>
        <w:t>数发</w:t>
      </w:r>
      <w:r>
        <w:rPr>
          <w:rFonts w:hint="default" w:ascii="仿宋_GB2312" w:hAnsi="仿宋_GB2312" w:eastAsia="仿宋_GB2312" w:cs="仿宋_GB2312"/>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11</w:t>
      </w:r>
      <w:r>
        <w:rPr>
          <w:rFonts w:hint="default" w:ascii="仿宋_GB2312" w:hAnsi="仿宋_GB2312"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包头市行政审批政务服务与数据管理局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关于印发《包头市电子政务外网使用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和管理办法（试行）》的通知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各电子政务外网使用单位：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现将《包头市电子政务外网使用和管理办法（试行）》印发给你们，请认真遵照执行。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right="0" w:firstLine="1600" w:firstLineChars="500"/>
        <w:jc w:val="right"/>
        <w:textAlignment w:val="auto"/>
        <w:rPr>
          <w:rFonts w:hint="eastAsia" w:ascii="CESI仿宋-GB2312" w:hAnsi="CESI仿宋-GB2312" w:eastAsia="CESI仿宋-GB2312" w:cs="CESI仿宋-GB2312"/>
          <w:color w:val="auto"/>
          <w:kern w:val="2"/>
          <w:sz w:val="32"/>
          <w:szCs w:val="32"/>
          <w:lang w:val="en-US" w:eastAsia="zh-CN" w:bidi="ar"/>
        </w:rPr>
      </w:pPr>
      <w:r>
        <w:rPr>
          <w:rFonts w:hint="eastAsia" w:ascii="CESI仿宋-GB2312" w:hAnsi="CESI仿宋-GB2312" w:eastAsia="CESI仿宋-GB2312" w:cs="CESI仿宋-GB2312"/>
          <w:color w:val="auto"/>
          <w:kern w:val="2"/>
          <w:sz w:val="32"/>
          <w:szCs w:val="32"/>
          <w:lang w:val="en-US" w:eastAsia="zh-CN" w:bidi="ar"/>
        </w:rPr>
        <w:t>包头市行政审批政务服务与数据管理局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仿宋_GB2312" w:cs="Times New Roman"/>
          <w:color w:val="auto"/>
          <w:kern w:val="2"/>
          <w:sz w:val="32"/>
          <w:szCs w:val="32"/>
          <w:highlight w:val="none"/>
          <w:lang w:val="en-US" w:eastAsia="zh-CN" w:bidi="ar-SA"/>
        </w:rPr>
        <w:t xml:space="preserve">                       2025年8月14日</w:t>
      </w:r>
    </w:p>
    <w:p>
      <w:pPr>
        <w:pStyle w:val="3"/>
        <w:keepNext/>
        <w:keepLines/>
        <w:widowControl w:val="0"/>
        <w:wordWrap/>
        <w:adjustRightInd/>
        <w:snapToGrid/>
        <w:spacing w:line="700" w:lineRule="exact"/>
        <w:ind w:firstLine="0" w:firstLineChars="0"/>
        <w:jc w:val="left"/>
        <w:textAlignment w:val="auto"/>
        <w:rPr>
          <w:rFonts w:hint="eastAsia" w:ascii="方正小标宋简体" w:hAnsi="方正小标宋简体" w:eastAsia="方正小标宋简体" w:cs="方正小标宋简体"/>
          <w:b w:val="0"/>
          <w:bCs/>
          <w:highlight w:val="none"/>
          <w:lang w:val="en-US" w:eastAsia="zh-CN"/>
        </w:rPr>
        <w:sectPr>
          <w:pgSz w:w="11906" w:h="16838"/>
          <w:pgMar w:top="1984" w:right="1531" w:bottom="1984" w:left="1531" w:header="720" w:footer="720" w:gutter="0"/>
          <w:pgNumType w:fmt="numberInDash" w:start="1"/>
          <w:cols w:space="720" w:num="1"/>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包头市电子政务外网使用和管理办法（试行）</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进一步加强我市电子政务外网（以下简称“政务外网”）的管理，规范我市政务外网的使用，保障我市政务外网的网络安全和信息安全，提高信息化服务水平，根据《自治区电子政务外网管理办法（试行）》及有关法律法规、政策文件、标准规范，结合我市实际，制定本办法。</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本办法所称政务外网，是国家、自治区政务外网的组成部分，是我市电子政务的重要公共基础设施，承载全市政务部门非涉密信息化系统，实现基础信息资源开放共享及跨部门业务协同，与互联网逻辑隔离。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第二条 </w:t>
      </w:r>
      <w:r>
        <w:rPr>
          <w:rFonts w:hint="eastAsia" w:ascii="仿宋_GB2312" w:hAnsi="仿宋_GB2312" w:eastAsia="仿宋_GB2312" w:cs="仿宋_GB2312"/>
          <w:b w:val="0"/>
          <w:bCs w:val="0"/>
          <w:sz w:val="32"/>
          <w:szCs w:val="32"/>
          <w:highlight w:val="none"/>
          <w:lang w:val="en-US" w:eastAsia="zh-CN"/>
        </w:rPr>
        <w:t>政务外网主要包括市本级、旗县区（含稀土高新区）两级纵向广域骨干网和横向城域网，覆盖市本级、旗县区各级政务部门，并向乡镇、苏木（街道），村、嘎查（社区）延伸。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第三条 </w:t>
      </w:r>
      <w:r>
        <w:rPr>
          <w:rFonts w:hint="eastAsia" w:ascii="仿宋_GB2312" w:hAnsi="仿宋_GB2312" w:eastAsia="仿宋_GB2312" w:cs="仿宋_GB2312"/>
          <w:b w:val="0"/>
          <w:bCs w:val="0"/>
          <w:sz w:val="32"/>
          <w:szCs w:val="32"/>
          <w:highlight w:val="none"/>
          <w:lang w:val="en-US" w:eastAsia="zh-CN"/>
        </w:rPr>
        <w:t>政务外网管理遵循“统一标准、集约建设、分级管理、协同管控、保障安全”的原则。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第四条</w:t>
      </w:r>
      <w:r>
        <w:rPr>
          <w:rFonts w:hint="eastAsia" w:ascii="仿宋_GB2312" w:hAnsi="仿宋_GB2312" w:eastAsia="仿宋_GB2312" w:cs="仿宋_GB2312"/>
          <w:b w:val="0"/>
          <w:bCs w:val="0"/>
          <w:sz w:val="32"/>
          <w:szCs w:val="32"/>
          <w:highlight w:val="none"/>
          <w:lang w:val="en-US" w:eastAsia="zh-CN"/>
        </w:rPr>
        <w:t xml:space="preserve"> 本办法所称政务部门指我市各级党委、人大、政府、政协、法院、检察院及其直属各部门，以及法律法规授权具有行政职能的事业单位和社会组织。</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第二章 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第五条</w:t>
      </w:r>
      <w:r>
        <w:rPr>
          <w:rFonts w:hint="eastAsia" w:ascii="仿宋_GB2312" w:hAnsi="仿宋_GB2312" w:eastAsia="仿宋_GB2312" w:cs="仿宋_GB2312"/>
          <w:b w:val="0"/>
          <w:bCs w:val="0"/>
          <w:sz w:val="32"/>
          <w:szCs w:val="32"/>
          <w:highlight w:val="none"/>
          <w:lang w:val="en-US" w:eastAsia="zh-CN"/>
        </w:rPr>
        <w:t xml:space="preserve"> 政务外网按照“谁建设谁负责，谁管理谁负责，谁使用谁负责”的原则分级建设，分级管理，各负其责。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第六条</w:t>
      </w:r>
      <w:r>
        <w:rPr>
          <w:rFonts w:hint="eastAsia" w:ascii="仿宋_GB2312" w:hAnsi="仿宋_GB2312" w:eastAsia="仿宋_GB2312" w:cs="仿宋_GB2312"/>
          <w:b w:val="0"/>
          <w:bCs w:val="0"/>
          <w:sz w:val="32"/>
          <w:szCs w:val="32"/>
          <w:highlight w:val="none"/>
          <w:lang w:val="en-US" w:eastAsia="zh-CN"/>
        </w:rPr>
        <w:t xml:space="preserve"> 市行政审批政务服务与数据管理局是市级政务外网主管部门，负责监督、指导全市政务外网整体规划、建设和管理工作。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第七条</w:t>
      </w:r>
      <w:r>
        <w:rPr>
          <w:rFonts w:hint="eastAsia" w:ascii="仿宋_GB2312" w:hAnsi="仿宋_GB2312" w:eastAsia="仿宋_GB2312" w:cs="仿宋_GB2312"/>
          <w:b w:val="0"/>
          <w:bCs w:val="0"/>
          <w:sz w:val="32"/>
          <w:szCs w:val="32"/>
          <w:highlight w:val="none"/>
          <w:lang w:val="en-US" w:eastAsia="zh-CN"/>
        </w:rPr>
        <w:t xml:space="preserve"> 市大数据中心是市级政务外网运行管理部门，负责全市政务外网的业务开展和日常管理。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第八条</w:t>
      </w:r>
      <w:r>
        <w:rPr>
          <w:rFonts w:hint="eastAsia" w:ascii="仿宋_GB2312" w:hAnsi="仿宋_GB2312" w:eastAsia="仿宋_GB2312" w:cs="仿宋_GB2312"/>
          <w:b w:val="0"/>
          <w:bCs w:val="0"/>
          <w:sz w:val="32"/>
          <w:szCs w:val="32"/>
          <w:highlight w:val="none"/>
          <w:lang w:val="en-US" w:eastAsia="zh-CN"/>
        </w:rPr>
        <w:t xml:space="preserve"> 旗县区（含稀土高新区）政务外网主管部门负责本级政务外网接入、运维、安全等管理工作，接受上级相关部门业务指导。</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第九条</w:t>
      </w:r>
      <w:r>
        <w:rPr>
          <w:rFonts w:hint="eastAsia" w:ascii="仿宋_GB2312" w:hAnsi="仿宋_GB2312" w:eastAsia="仿宋_GB2312" w:cs="仿宋_GB2312"/>
          <w:b w:val="0"/>
          <w:bCs w:val="0"/>
          <w:sz w:val="32"/>
          <w:szCs w:val="32"/>
          <w:highlight w:val="none"/>
          <w:lang w:val="en-US" w:eastAsia="zh-CN"/>
        </w:rPr>
        <w:t xml:space="preserve"> 政务外网接入单位（以下简称“接入单位”）负责管理本单位接入政务外网的网络设备、终端设备和由本级政务外网管理单位所划分的政务外</w:t>
      </w:r>
      <w:r>
        <w:rPr>
          <w:rFonts w:hint="eastAsia" w:ascii="Times New Roman" w:hAnsi="Times New Roman" w:eastAsia="仿宋_GB2312" w:cs="Times New Roman"/>
          <w:color w:val="auto"/>
          <w:kern w:val="2"/>
          <w:sz w:val="32"/>
          <w:szCs w:val="32"/>
          <w:highlight w:val="none"/>
          <w:lang w:val="en-US" w:eastAsia="zh-CN" w:bidi="ar-SA"/>
        </w:rPr>
        <w:t>网IP地</w:t>
      </w:r>
      <w:r>
        <w:rPr>
          <w:rFonts w:hint="eastAsia" w:ascii="仿宋_GB2312" w:hAnsi="仿宋_GB2312" w:eastAsia="仿宋_GB2312" w:cs="仿宋_GB2312"/>
          <w:b w:val="0"/>
          <w:bCs w:val="0"/>
          <w:sz w:val="32"/>
          <w:szCs w:val="32"/>
          <w:highlight w:val="none"/>
          <w:lang w:val="en-US" w:eastAsia="zh-CN"/>
        </w:rPr>
        <w:t>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第十条</w:t>
      </w:r>
      <w:r>
        <w:rPr>
          <w:rFonts w:hint="eastAsia" w:ascii="仿宋_GB2312" w:hAnsi="仿宋_GB2312" w:eastAsia="仿宋_GB2312" w:cs="仿宋_GB2312"/>
          <w:b w:val="0"/>
          <w:bCs w:val="0"/>
          <w:sz w:val="32"/>
          <w:szCs w:val="32"/>
          <w:highlight w:val="none"/>
          <w:lang w:val="en-US" w:eastAsia="zh-CN"/>
        </w:rPr>
        <w:t xml:space="preserve"> 政务外网运维单位（以下简称“运维单位”）承担政务外网的日常运行维护和安全监测工作，保障政务外网安全稳定运行。</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第三章 接入管理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66" w:firstLineChars="200"/>
        <w:jc w:val="both"/>
        <w:textAlignment w:val="auto"/>
        <w:rPr>
          <w:rFonts w:hint="eastAsia" w:ascii="仿宋_GB2312" w:hAnsi="仿宋_GB2312" w:eastAsia="仿宋_GB2312" w:cs="仿宋_GB2312"/>
          <w:w w:val="104"/>
          <w:sz w:val="32"/>
          <w:szCs w:val="32"/>
          <w:highlight w:val="none"/>
          <w:lang w:val="en-US" w:eastAsia="zh-CN"/>
        </w:rPr>
      </w:pPr>
      <w:r>
        <w:rPr>
          <w:rFonts w:hint="eastAsia" w:ascii="仿宋_GB2312" w:hAnsi="仿宋_GB2312" w:eastAsia="仿宋_GB2312" w:cs="仿宋_GB2312"/>
          <w:b/>
          <w:bCs/>
          <w:w w:val="104"/>
          <w:sz w:val="32"/>
          <w:szCs w:val="32"/>
          <w:highlight w:val="none"/>
          <w:lang w:val="en-US" w:eastAsia="zh-CN"/>
        </w:rPr>
        <w:t>第十一条</w:t>
      </w:r>
      <w:r>
        <w:rPr>
          <w:rFonts w:hint="eastAsia" w:ascii="仿宋_GB2312" w:hAnsi="仿宋_GB2312" w:eastAsia="仿宋_GB2312" w:cs="仿宋_GB2312"/>
          <w:w w:val="104"/>
          <w:sz w:val="32"/>
          <w:szCs w:val="32"/>
          <w:highlight w:val="none"/>
          <w:lang w:val="en-US" w:eastAsia="zh-CN"/>
        </w:rPr>
        <w:t xml:space="preserve"> 符合下列条件之一的单位，可以接入我市政务外网：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52" w:firstLineChars="200"/>
        <w:jc w:val="both"/>
        <w:textAlignment w:val="auto"/>
        <w:rPr>
          <w:rFonts w:hint="eastAsia" w:ascii="仿宋_GB2312" w:hAnsi="仿宋_GB2312" w:eastAsia="仿宋_GB2312" w:cs="仿宋_GB2312"/>
          <w:w w:val="102"/>
          <w:sz w:val="32"/>
          <w:szCs w:val="32"/>
          <w:highlight w:val="none"/>
          <w:lang w:val="en-US" w:eastAsia="zh-CN"/>
        </w:rPr>
      </w:pPr>
      <w:r>
        <w:rPr>
          <w:rFonts w:hint="eastAsia" w:ascii="仿宋_GB2312" w:hAnsi="仿宋_GB2312" w:eastAsia="仿宋_GB2312" w:cs="仿宋_GB2312"/>
          <w:w w:val="102"/>
          <w:sz w:val="32"/>
          <w:szCs w:val="32"/>
          <w:highlight w:val="none"/>
          <w:lang w:val="en-US" w:eastAsia="zh-CN"/>
        </w:rPr>
        <w:t>（一）中央、国家和自治区部门要求接入政务外网的政务部门；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（二）为保障市、旗县区两级业务主管部门履行工作职责，确有接入政务外网需求的单位；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（三）确有接入政务外网需求，且满足本办法第二十二条要求的学校、医疗机构、国有企业、银保机构等单位。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第十二条 </w:t>
      </w:r>
      <w:r>
        <w:rPr>
          <w:rFonts w:hint="eastAsia" w:ascii="仿宋_GB2312" w:hAnsi="仿宋_GB2312" w:eastAsia="仿宋_GB2312" w:cs="仿宋_GB2312"/>
          <w:b w:val="0"/>
          <w:bCs w:val="0"/>
          <w:sz w:val="32"/>
          <w:szCs w:val="32"/>
          <w:highlight w:val="none"/>
          <w:lang w:val="en-US" w:eastAsia="zh-CN"/>
        </w:rPr>
        <w:t>政务外网实行分级接入。市级政务部门接入到市级政务外网，旗县区级政务部门接入到所辖旗县区级政务外网。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第十三条</w:t>
      </w:r>
      <w:r>
        <w:rPr>
          <w:rFonts w:hint="eastAsia" w:ascii="仿宋_GB2312" w:hAnsi="仿宋_GB2312" w:eastAsia="仿宋_GB2312" w:cs="仿宋_GB2312"/>
          <w:b w:val="0"/>
          <w:bCs w:val="0"/>
          <w:sz w:val="32"/>
          <w:szCs w:val="32"/>
          <w:highlight w:val="none"/>
          <w:lang w:val="en-US" w:eastAsia="zh-CN"/>
        </w:rPr>
        <w:t xml:space="preserve"> 接入单位可采用专线或零信任两种方式灵活接入政务外网。</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第十四条 </w:t>
      </w:r>
      <w:r>
        <w:rPr>
          <w:rFonts w:hint="eastAsia" w:ascii="仿宋_GB2312" w:hAnsi="仿宋_GB2312" w:eastAsia="仿宋_GB2312" w:cs="仿宋_GB2312"/>
          <w:b w:val="0"/>
          <w:bCs w:val="0"/>
          <w:sz w:val="32"/>
          <w:szCs w:val="32"/>
          <w:highlight w:val="none"/>
          <w:lang w:val="en-US" w:eastAsia="zh-CN"/>
        </w:rPr>
        <w:t>接入单位需向市级政务外网运行管理部门提供以下申请材料：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（一）《包头市电子政务外网互联网接入安全责任书》（附件</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（二）《包头市电子政务外</w:t>
      </w:r>
      <w:r>
        <w:rPr>
          <w:rFonts w:hint="eastAsia" w:ascii="Times New Roman" w:hAnsi="Times New Roman" w:eastAsia="仿宋_GB2312" w:cs="Times New Roman"/>
          <w:color w:val="auto"/>
          <w:kern w:val="2"/>
          <w:sz w:val="32"/>
          <w:szCs w:val="32"/>
          <w:highlight w:val="none"/>
          <w:lang w:val="en-US" w:eastAsia="zh-CN" w:bidi="ar-SA"/>
        </w:rPr>
        <w:t>网IP地</w:t>
      </w:r>
      <w:r>
        <w:rPr>
          <w:rFonts w:hint="eastAsia" w:ascii="仿宋_GB2312" w:hAnsi="仿宋_GB2312" w:eastAsia="仿宋_GB2312" w:cs="仿宋_GB2312"/>
          <w:b w:val="0"/>
          <w:bCs w:val="0"/>
          <w:sz w:val="32"/>
          <w:szCs w:val="32"/>
          <w:highlight w:val="none"/>
          <w:lang w:val="en-US" w:eastAsia="zh-CN"/>
        </w:rPr>
        <w:t>址确认书》（附</w:t>
      </w:r>
      <w:r>
        <w:rPr>
          <w:rFonts w:hint="eastAsia" w:ascii="Times New Roman" w:hAnsi="Times New Roman" w:eastAsia="仿宋_GB2312" w:cs="Times New Roman"/>
          <w:color w:val="auto"/>
          <w:kern w:val="2"/>
          <w:sz w:val="32"/>
          <w:szCs w:val="32"/>
          <w:highlight w:val="none"/>
          <w:lang w:val="en-US" w:eastAsia="zh-CN" w:bidi="ar-SA"/>
        </w:rPr>
        <w:t>件2</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（三）《包头市电子政务外网网络运维信息表》（附</w:t>
      </w:r>
      <w:r>
        <w:rPr>
          <w:rFonts w:hint="eastAsia" w:ascii="Times New Roman" w:hAnsi="Times New Roman" w:eastAsia="仿宋_GB2312" w:cs="Times New Roman"/>
          <w:color w:val="auto"/>
          <w:kern w:val="2"/>
          <w:sz w:val="32"/>
          <w:szCs w:val="32"/>
          <w:highlight w:val="none"/>
          <w:lang w:val="en-US" w:eastAsia="zh-CN" w:bidi="ar-SA"/>
        </w:rPr>
        <w:t>件3</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（四）《政务数据使用保密承诺书》（附</w:t>
      </w:r>
      <w:r>
        <w:rPr>
          <w:rFonts w:hint="eastAsia" w:ascii="Times New Roman" w:hAnsi="Times New Roman" w:eastAsia="仿宋_GB2312" w:cs="Times New Roman"/>
          <w:color w:val="auto"/>
          <w:kern w:val="2"/>
          <w:sz w:val="32"/>
          <w:szCs w:val="32"/>
          <w:highlight w:val="none"/>
          <w:lang w:val="en-US" w:eastAsia="zh-CN" w:bidi="ar-SA"/>
        </w:rPr>
        <w:t>件6</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第十五条 </w:t>
      </w:r>
      <w:r>
        <w:rPr>
          <w:rFonts w:hint="eastAsia" w:ascii="仿宋_GB2312" w:hAnsi="仿宋_GB2312" w:eastAsia="仿宋_GB2312" w:cs="仿宋_GB2312"/>
          <w:b w:val="0"/>
          <w:bCs w:val="0"/>
          <w:sz w:val="32"/>
          <w:szCs w:val="32"/>
          <w:highlight w:val="none"/>
          <w:lang w:val="en-US" w:eastAsia="zh-CN"/>
        </w:rPr>
        <w:t>符合本办法第十一条条件的单位申请政务外网专线接入或变更时，需执行以下流程：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（一）申请。政务部门接入或变更政务外网专线，应向本级政务外网主管部门提出网络接入或变更申请，包括申请依据、具体业务内容等。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（二）审核。政务外网主管部门对申请条件进行审核。审核通过的，申请单位签署本办法第十四条相关内容；审核未通过的，应当将理由及时告知申请单位。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（三）接入。审核通过后，政务外网运行管理部门应当及时落实网络接入开通或变更。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第十六条 </w:t>
      </w:r>
      <w:r>
        <w:rPr>
          <w:rFonts w:hint="eastAsia" w:ascii="仿宋_GB2312" w:hAnsi="仿宋_GB2312" w:eastAsia="仿宋_GB2312" w:cs="仿宋_GB2312"/>
          <w:b w:val="0"/>
          <w:bCs w:val="0"/>
          <w:sz w:val="32"/>
          <w:szCs w:val="32"/>
          <w:highlight w:val="none"/>
          <w:lang w:val="en-US" w:eastAsia="zh-CN"/>
        </w:rPr>
        <w:t>接入单位应建立健全相关管理制度，明确本单位政务外网运维负责人及网络管理员。接入单位在使用政务外网过程中发现网络问题，应首先由本单位网络管理员排查内部局域网问题，确认非内部网络问题后，及时反馈至本级政务外网运行管理部门。</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接入单位需要调试政务外网接入设备的，应提前向政务外网运行管理部门申请报备。</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第十八条</w:t>
      </w:r>
      <w:r>
        <w:rPr>
          <w:rFonts w:hint="eastAsia" w:ascii="仿宋_GB2312" w:hAnsi="仿宋_GB2312" w:eastAsia="仿宋_GB2312" w:cs="仿宋_GB2312"/>
          <w:i w:val="0"/>
          <w:iCs w:val="0"/>
          <w:caps w:val="0"/>
          <w:color w:val="auto"/>
          <w:spacing w:val="0"/>
          <w:sz w:val="31"/>
          <w:szCs w:val="31"/>
          <w:highlight w:val="none"/>
          <w:shd w:val="clear" w:color="auto" w:fill="FFFFFF"/>
        </w:rPr>
        <w:t xml:space="preserve"> </w:t>
      </w:r>
      <w:r>
        <w:rPr>
          <w:rFonts w:hint="eastAsia" w:ascii="仿宋_GB2312" w:hAnsi="仿宋_GB2312" w:eastAsia="仿宋_GB2312" w:cs="仿宋_GB2312"/>
          <w:i w:val="0"/>
          <w:iCs w:val="0"/>
          <w:caps w:val="0"/>
          <w:color w:val="auto"/>
          <w:spacing w:val="0"/>
          <w:sz w:val="31"/>
          <w:szCs w:val="31"/>
          <w:highlight w:val="none"/>
          <w:shd w:val="clear" w:color="auto" w:fill="FFFFFF"/>
          <w:lang w:val="en-US" w:eastAsia="zh-CN"/>
        </w:rPr>
        <w:t>严禁</w:t>
      </w:r>
      <w:r>
        <w:rPr>
          <w:rFonts w:hint="eastAsia" w:ascii="仿宋_GB2312" w:hAnsi="仿宋_GB2312" w:eastAsia="仿宋_GB2312" w:cs="仿宋_GB2312"/>
          <w:b w:val="0"/>
          <w:bCs w:val="0"/>
          <w:sz w:val="32"/>
          <w:szCs w:val="32"/>
          <w:highlight w:val="none"/>
          <w:lang w:val="en-US" w:eastAsia="zh-CN"/>
        </w:rPr>
        <w:t>接入单位擅自安装无线接入设备，及其它违规外联设备。如有无线需求，可申请使用零信任方式接入。</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第十九条 </w:t>
      </w:r>
      <w:r>
        <w:rPr>
          <w:rFonts w:hint="eastAsia" w:ascii="仿宋_GB2312" w:hAnsi="仿宋_GB2312" w:eastAsia="仿宋_GB2312" w:cs="仿宋_GB2312"/>
          <w:b w:val="0"/>
          <w:bCs w:val="0"/>
          <w:sz w:val="32"/>
          <w:szCs w:val="32"/>
          <w:highlight w:val="none"/>
          <w:lang w:val="en-US" w:eastAsia="zh-CN"/>
        </w:rPr>
        <w:t>接入单位因机构变更等原因不再具有政务外网业务需求的，应及时向政务外网主管部门申请撤销政务外网接入节点，若长时间未申请撤销导致出现网络安全或其他问题的，由原接入单位的现主管单位负责。</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第二十条</w:t>
      </w:r>
      <w:r>
        <w:rPr>
          <w:rFonts w:hint="eastAsia" w:ascii="仿宋_GB2312" w:hAnsi="仿宋_GB2312" w:eastAsia="仿宋_GB2312" w:cs="仿宋_GB2312"/>
          <w:b w:val="0"/>
          <w:bCs w:val="0"/>
          <w:sz w:val="32"/>
          <w:szCs w:val="32"/>
          <w:highlight w:val="none"/>
          <w:lang w:val="en-US" w:eastAsia="zh-CN"/>
        </w:rPr>
        <w:t xml:space="preserve"> 接入单位进行办公地址迁移、网络调测或网络设备变动应提前向本级政务外网主管部门进行报备，不得擅自关闭本单位政务外网数通设备。</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第二十一条</w:t>
      </w:r>
      <w:r>
        <w:rPr>
          <w:rFonts w:hint="eastAsia" w:ascii="仿宋_GB2312" w:hAnsi="仿宋_GB2312" w:eastAsia="仿宋_GB2312" w:cs="仿宋_GB2312"/>
          <w:b w:val="0"/>
          <w:bCs w:val="0"/>
          <w:sz w:val="32"/>
          <w:szCs w:val="32"/>
          <w:highlight w:val="none"/>
          <w:lang w:val="en-US" w:eastAsia="zh-CN"/>
        </w:rPr>
        <w:t xml:space="preserve"> 接入单位在三个月内未开展联网应用的，政务外网运行管理部门有权关闭其接入链路，并通知接入单位。接入单位再次接入政务外网时，应当重新向政务外网主管部门申请并说明理由。</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第二十二条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学校、医疗机构、国有企业、银保机构</w:t>
      </w:r>
      <w:r>
        <w:rPr>
          <w:rFonts w:hint="eastAsia" w:ascii="仿宋_GB2312" w:hAnsi="仿宋_GB2312" w:eastAsia="仿宋_GB2312" w:cs="仿宋_GB2312"/>
          <w:b w:val="0"/>
          <w:bCs w:val="0"/>
          <w:sz w:val="32"/>
          <w:szCs w:val="32"/>
          <w:highlight w:val="none"/>
          <w:lang w:val="en-US" w:eastAsia="zh-CN"/>
        </w:rPr>
        <w:t>接入政务外网应执行以下流程：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（一）接入人数较少且网络带宽要求较小可申请零信任方式接入。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（二）需专线接入的，</w:t>
      </w:r>
      <w:r>
        <w:rPr>
          <w:rFonts w:hint="eastAsia" w:ascii="仿宋" w:hAnsi="仿宋" w:eastAsia="仿宋" w:cs="仿宋"/>
          <w:sz w:val="32"/>
          <w:szCs w:val="32"/>
          <w:highlight w:val="none"/>
          <w:lang w:eastAsia="zh-CN"/>
        </w:rPr>
        <w:t>参照原有专线用户接入政务外网的方式接入属地政务外网，链路费用由接入单位自行负责。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（三）提供接入需求依据（上级文件等论证性材料）。</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第四章 使用管理</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第二十三条 </w:t>
      </w:r>
      <w:r>
        <w:rPr>
          <w:rFonts w:hint="eastAsia" w:ascii="仿宋_GB2312" w:hAnsi="仿宋_GB2312" w:eastAsia="仿宋_GB2312" w:cs="仿宋_GB2312"/>
          <w:b w:val="0"/>
          <w:bCs w:val="0"/>
          <w:sz w:val="32"/>
          <w:szCs w:val="32"/>
          <w:highlight w:val="none"/>
          <w:lang w:val="en-US" w:eastAsia="zh-CN"/>
        </w:rPr>
        <w:t>政务外网运行管理部门对各接入单位的政务外网</w:t>
      </w:r>
      <w:r>
        <w:rPr>
          <w:rFonts w:hint="eastAsia" w:ascii="Times New Roman" w:hAnsi="Times New Roman" w:eastAsia="仿宋_GB2312" w:cs="Times New Roman"/>
          <w:color w:val="auto"/>
          <w:kern w:val="2"/>
          <w:sz w:val="32"/>
          <w:szCs w:val="32"/>
          <w:highlight w:val="none"/>
          <w:lang w:val="en-US" w:eastAsia="zh-CN" w:bidi="ar-SA"/>
        </w:rPr>
        <w:t>IP地址</w:t>
      </w:r>
      <w:r>
        <w:rPr>
          <w:rFonts w:hint="eastAsia" w:ascii="仿宋_GB2312" w:hAnsi="仿宋_GB2312" w:eastAsia="仿宋_GB2312" w:cs="仿宋_GB2312"/>
          <w:b w:val="0"/>
          <w:bCs w:val="0"/>
          <w:sz w:val="32"/>
          <w:szCs w:val="32"/>
          <w:highlight w:val="none"/>
          <w:lang w:val="en-US" w:eastAsia="zh-CN"/>
        </w:rPr>
        <w:t>段进行统一规划管理。</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第二十四条 </w:t>
      </w:r>
      <w:r>
        <w:rPr>
          <w:rFonts w:hint="eastAsia" w:ascii="仿宋_GB2312" w:hAnsi="仿宋_GB2312" w:eastAsia="仿宋_GB2312" w:cs="仿宋_GB2312"/>
          <w:b w:val="0"/>
          <w:bCs w:val="0"/>
          <w:sz w:val="32"/>
          <w:szCs w:val="32"/>
          <w:highlight w:val="none"/>
          <w:lang w:val="en-US" w:eastAsia="zh-CN"/>
        </w:rPr>
        <w:t>各接入单位对本单</w:t>
      </w:r>
      <w:r>
        <w:rPr>
          <w:rFonts w:hint="eastAsia" w:ascii="Times New Roman" w:hAnsi="Times New Roman" w:eastAsia="仿宋_GB2312" w:cs="Times New Roman"/>
          <w:color w:val="auto"/>
          <w:kern w:val="2"/>
          <w:sz w:val="32"/>
          <w:szCs w:val="32"/>
          <w:highlight w:val="none"/>
          <w:lang w:val="en-US" w:eastAsia="zh-CN" w:bidi="ar-SA"/>
        </w:rPr>
        <w:t>位IP地址</w:t>
      </w:r>
      <w:r>
        <w:rPr>
          <w:rFonts w:hint="eastAsia" w:ascii="仿宋_GB2312" w:hAnsi="仿宋_GB2312" w:eastAsia="仿宋_GB2312" w:cs="仿宋_GB2312"/>
          <w:b w:val="0"/>
          <w:bCs w:val="0"/>
          <w:sz w:val="32"/>
          <w:szCs w:val="32"/>
          <w:highlight w:val="none"/>
          <w:lang w:val="en-US" w:eastAsia="zh-CN"/>
        </w:rPr>
        <w:t>负管理责任，要求</w:t>
      </w:r>
      <w:r>
        <w:rPr>
          <w:rFonts w:hint="eastAsia" w:ascii="Times New Roman" w:hAnsi="Times New Roman" w:eastAsia="仿宋_GB2312" w:cs="Times New Roman"/>
          <w:color w:val="auto"/>
          <w:kern w:val="2"/>
          <w:sz w:val="32"/>
          <w:szCs w:val="32"/>
          <w:highlight w:val="none"/>
          <w:lang w:val="en-US" w:eastAsia="zh-CN" w:bidi="ar-SA"/>
        </w:rPr>
        <w:t>IP地址</w:t>
      </w:r>
      <w:r>
        <w:rPr>
          <w:rFonts w:hint="eastAsia" w:ascii="仿宋_GB2312" w:hAnsi="仿宋_GB2312" w:eastAsia="仿宋_GB2312" w:cs="仿宋_GB2312"/>
          <w:b w:val="0"/>
          <w:bCs w:val="0"/>
          <w:sz w:val="32"/>
          <w:szCs w:val="32"/>
          <w:highlight w:val="none"/>
          <w:lang w:val="en-US" w:eastAsia="zh-CN"/>
        </w:rPr>
        <w:t>，终</w:t>
      </w:r>
      <w:r>
        <w:rPr>
          <w:rFonts w:hint="eastAsia" w:ascii="Times New Roman" w:hAnsi="Times New Roman" w:eastAsia="仿宋_GB2312" w:cs="Times New Roman"/>
          <w:color w:val="auto"/>
          <w:kern w:val="2"/>
          <w:sz w:val="32"/>
          <w:szCs w:val="32"/>
          <w:highlight w:val="none"/>
          <w:lang w:val="en-US" w:eastAsia="zh-CN" w:bidi="ar-SA"/>
        </w:rPr>
        <w:t>端MAC地</w:t>
      </w:r>
      <w:r>
        <w:rPr>
          <w:rFonts w:hint="eastAsia" w:ascii="仿宋_GB2312" w:hAnsi="仿宋_GB2312" w:eastAsia="仿宋_GB2312" w:cs="仿宋_GB2312"/>
          <w:b w:val="0"/>
          <w:bCs w:val="0"/>
          <w:sz w:val="32"/>
          <w:szCs w:val="32"/>
          <w:highlight w:val="none"/>
          <w:lang w:val="en-US" w:eastAsia="zh-CN"/>
        </w:rPr>
        <w:t>址，终端用户名“三绑定”，不可转让他人使用。因管理使用不当造成的后果由接入单位承担。</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第二十五条 </w:t>
      </w:r>
      <w:r>
        <w:rPr>
          <w:rFonts w:hint="eastAsia" w:ascii="仿宋_GB2312" w:hAnsi="仿宋_GB2312" w:eastAsia="仿宋_GB2312" w:cs="仿宋_GB2312"/>
          <w:b w:val="0"/>
          <w:bCs w:val="0"/>
          <w:sz w:val="32"/>
          <w:szCs w:val="32"/>
          <w:highlight w:val="none"/>
          <w:lang w:val="en-US" w:eastAsia="zh-CN"/>
        </w:rPr>
        <w:t>政务外网用户采取实名制管理，用户使用政务外网时需通过认证软件登录。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54" w:firstLineChars="200"/>
        <w:jc w:val="both"/>
        <w:textAlignment w:val="auto"/>
        <w:rPr>
          <w:rFonts w:hint="eastAsia" w:ascii="仿宋_GB2312" w:hAnsi="仿宋_GB2312" w:eastAsia="仿宋_GB2312" w:cs="仿宋_GB2312"/>
          <w:b/>
          <w:bCs/>
          <w:w w:val="102"/>
          <w:kern w:val="2"/>
          <w:sz w:val="32"/>
          <w:szCs w:val="32"/>
          <w:highlight w:val="none"/>
          <w:lang w:val="en-US" w:eastAsia="zh-CN" w:bidi="ar-SA"/>
        </w:rPr>
      </w:pPr>
      <w:r>
        <w:rPr>
          <w:rFonts w:hint="eastAsia" w:ascii="仿宋_GB2312" w:hAnsi="仿宋_GB2312" w:eastAsia="仿宋_GB2312" w:cs="仿宋_GB2312"/>
          <w:b/>
          <w:bCs/>
          <w:w w:val="102"/>
          <w:kern w:val="2"/>
          <w:sz w:val="32"/>
          <w:szCs w:val="32"/>
          <w:highlight w:val="none"/>
          <w:lang w:val="en-US" w:eastAsia="zh-CN" w:bidi="ar-SA"/>
        </w:rPr>
        <w:t xml:space="preserve">第二十六条 </w:t>
      </w:r>
      <w:r>
        <w:rPr>
          <w:rFonts w:hint="eastAsia" w:ascii="仿宋_GB2312" w:hAnsi="仿宋_GB2312" w:eastAsia="仿宋_GB2312" w:cs="仿宋_GB2312"/>
          <w:b w:val="0"/>
          <w:bCs w:val="0"/>
          <w:w w:val="102"/>
          <w:kern w:val="2"/>
          <w:sz w:val="32"/>
          <w:szCs w:val="32"/>
          <w:highlight w:val="none"/>
          <w:lang w:val="en-US" w:eastAsia="zh-CN" w:bidi="ar-SA"/>
        </w:rPr>
        <w:t>接入单位对本单位政务外网用户账号负有管理责任。用户账号变更包含新增、解绑、重置密码和注销账户等环节。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 w:hAnsi="仿宋" w:eastAsia="仿宋" w:cs="仿宋"/>
          <w:sz w:val="32"/>
          <w:szCs w:val="32"/>
          <w:highlight w:val="none"/>
          <w:lang w:val="en-US" w:eastAsia="zh-CN"/>
        </w:rPr>
        <w:t>（</w:t>
      </w:r>
      <w:r>
        <w:rPr>
          <w:rFonts w:hint="eastAsia" w:ascii="仿宋" w:hAnsi="仿宋" w:eastAsia="仿宋" w:cs="仿宋"/>
          <w:b w:val="0"/>
          <w:bCs w:val="0"/>
          <w:sz w:val="32"/>
          <w:szCs w:val="32"/>
          <w:highlight w:val="none"/>
          <w:lang w:val="en-US" w:eastAsia="zh-CN"/>
        </w:rPr>
        <w:t>一）</w:t>
      </w:r>
      <w:r>
        <w:rPr>
          <w:rFonts w:hint="eastAsia" w:ascii="仿宋_GB2312" w:hAnsi="仿宋_GB2312" w:eastAsia="仿宋_GB2312" w:cs="仿宋_GB2312"/>
          <w:b w:val="0"/>
          <w:bCs w:val="0"/>
          <w:kern w:val="2"/>
          <w:sz w:val="32"/>
          <w:szCs w:val="32"/>
          <w:highlight w:val="none"/>
          <w:lang w:val="en-US" w:eastAsia="zh-CN" w:bidi="ar-SA"/>
        </w:rPr>
        <w:t>政务外网用户账号变更。接入单位根据自身业务需求填写《包头市电子政务外网用户申请表》（</w:t>
      </w:r>
      <w:r>
        <w:rPr>
          <w:rFonts w:hint="eastAsia" w:ascii="Times New Roman" w:hAnsi="Times New Roman" w:eastAsia="仿宋_GB2312" w:cs="Times New Roman"/>
          <w:color w:val="auto"/>
          <w:kern w:val="2"/>
          <w:sz w:val="32"/>
          <w:szCs w:val="32"/>
          <w:highlight w:val="none"/>
          <w:lang w:val="en-US" w:eastAsia="zh-CN" w:bidi="ar-SA"/>
        </w:rPr>
        <w:t>附件5），提</w:t>
      </w:r>
      <w:r>
        <w:rPr>
          <w:rFonts w:hint="eastAsia" w:ascii="仿宋_GB2312" w:hAnsi="仿宋_GB2312" w:eastAsia="仿宋_GB2312" w:cs="仿宋_GB2312"/>
          <w:b w:val="0"/>
          <w:bCs w:val="0"/>
          <w:kern w:val="2"/>
          <w:sz w:val="32"/>
          <w:szCs w:val="32"/>
          <w:highlight w:val="none"/>
          <w:lang w:val="en-US" w:eastAsia="zh-CN" w:bidi="ar-SA"/>
        </w:rPr>
        <w:t>交至政务外网运行管理部门审核后，予以变更。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 w:hAnsi="仿宋" w:eastAsia="仿宋" w:cs="仿宋"/>
          <w:b w:val="0"/>
          <w:bCs w:val="0"/>
          <w:sz w:val="32"/>
          <w:szCs w:val="32"/>
          <w:highlight w:val="none"/>
          <w:lang w:val="en-US" w:eastAsia="zh-CN"/>
        </w:rPr>
        <w:t>（二）</w:t>
      </w:r>
      <w:r>
        <w:rPr>
          <w:rFonts w:hint="eastAsia" w:ascii="仿宋_GB2312" w:hAnsi="仿宋_GB2312" w:eastAsia="仿宋_GB2312" w:cs="仿宋_GB2312"/>
          <w:b w:val="0"/>
          <w:bCs w:val="0"/>
          <w:kern w:val="2"/>
          <w:sz w:val="32"/>
          <w:szCs w:val="32"/>
          <w:highlight w:val="none"/>
          <w:lang w:val="en-US" w:eastAsia="zh-CN" w:bidi="ar-SA"/>
        </w:rPr>
        <w:t>零信任用户账号变更。接入单位新增零信任账号需向政务外网主管部门提交申请函，写明接入依据、使用期限、具体使用内容。变更零信任账号需填写《包头市电子政务外网用户申请表》（附</w:t>
      </w:r>
      <w:r>
        <w:rPr>
          <w:rFonts w:hint="eastAsia" w:ascii="Times New Roman" w:hAnsi="Times New Roman" w:eastAsia="仿宋_GB2312" w:cs="Times New Roman"/>
          <w:color w:val="auto"/>
          <w:kern w:val="2"/>
          <w:sz w:val="32"/>
          <w:szCs w:val="32"/>
          <w:highlight w:val="none"/>
          <w:lang w:val="en-US" w:eastAsia="zh-CN" w:bidi="ar-SA"/>
        </w:rPr>
        <w:t>件5），提</w:t>
      </w:r>
      <w:r>
        <w:rPr>
          <w:rFonts w:hint="eastAsia" w:ascii="仿宋_GB2312" w:hAnsi="仿宋_GB2312" w:eastAsia="仿宋_GB2312" w:cs="仿宋_GB2312"/>
          <w:b w:val="0"/>
          <w:bCs w:val="0"/>
          <w:kern w:val="2"/>
          <w:sz w:val="32"/>
          <w:szCs w:val="32"/>
          <w:highlight w:val="none"/>
          <w:lang w:val="en-US" w:eastAsia="zh-CN" w:bidi="ar-SA"/>
        </w:rPr>
        <w:t>交至政务外网运行管理部门审核后，予以变更。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 xml:space="preserve">第二十七条 </w:t>
      </w:r>
      <w:r>
        <w:rPr>
          <w:rFonts w:hint="eastAsia" w:ascii="仿宋_GB2312" w:hAnsi="仿宋_GB2312" w:eastAsia="仿宋_GB2312" w:cs="仿宋_GB2312"/>
          <w:b w:val="0"/>
          <w:bCs w:val="0"/>
          <w:kern w:val="2"/>
          <w:sz w:val="32"/>
          <w:szCs w:val="32"/>
          <w:highlight w:val="none"/>
          <w:lang w:val="en-US" w:eastAsia="zh-CN" w:bidi="ar-SA"/>
        </w:rPr>
        <w:t>其他业务办理流程如下：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除账号信息类以外其他业务，接入单位应提前与政务外网运行管理部门确认相关业务情况，确认业务可办理后，再向政务外网主管部门提交相关业务申请函，写明申请依据、申请目的、具体内容并填写</w:t>
      </w:r>
      <w:r>
        <w:rPr>
          <w:rFonts w:hint="eastAsia" w:ascii="仿宋_GB2312" w:hAnsi="仿宋_GB2312" w:eastAsia="仿宋_GB2312" w:cs="仿宋_GB2312"/>
          <w:b w:val="0"/>
          <w:bCs w:val="0"/>
          <w:color w:val="auto"/>
          <w:sz w:val="32"/>
          <w:szCs w:val="32"/>
          <w:highlight w:val="none"/>
          <w:lang w:val="en-US" w:eastAsia="zh-CN"/>
        </w:rPr>
        <w:t>《包头市电子政务外网业务申请单》（附</w:t>
      </w:r>
      <w:r>
        <w:rPr>
          <w:rFonts w:hint="eastAsia" w:ascii="Times New Roman" w:hAnsi="Times New Roman" w:eastAsia="仿宋_GB2312" w:cs="Times New Roman"/>
          <w:color w:val="auto"/>
          <w:kern w:val="2"/>
          <w:sz w:val="32"/>
          <w:szCs w:val="32"/>
          <w:highlight w:val="none"/>
          <w:lang w:val="en-US" w:eastAsia="zh-CN" w:bidi="ar-SA"/>
        </w:rPr>
        <w:t>件4）</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 xml:space="preserve">第二十八条 </w:t>
      </w:r>
      <w:r>
        <w:rPr>
          <w:rFonts w:hint="eastAsia" w:ascii="仿宋_GB2312" w:hAnsi="仿宋_GB2312" w:eastAsia="仿宋_GB2312" w:cs="仿宋_GB2312"/>
          <w:b w:val="0"/>
          <w:bCs w:val="0"/>
          <w:sz w:val="32"/>
          <w:szCs w:val="32"/>
          <w:highlight w:val="none"/>
          <w:lang w:val="en-US" w:eastAsia="zh-CN"/>
        </w:rPr>
        <w:t>各接入单位办理非账号信息类业务，均需填写《包头市电子政务外网业务申请单》（附件</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第二十九条 </w:t>
      </w:r>
      <w:r>
        <w:rPr>
          <w:rFonts w:hint="eastAsia" w:ascii="仿宋_GB2312" w:hAnsi="仿宋_GB2312" w:eastAsia="仿宋_GB2312" w:cs="仿宋_GB2312"/>
          <w:b w:val="0"/>
          <w:bCs w:val="0"/>
          <w:sz w:val="32"/>
          <w:szCs w:val="32"/>
          <w:highlight w:val="none"/>
          <w:lang w:val="en-US" w:eastAsia="zh-CN"/>
        </w:rPr>
        <w:t>政务外网上运行的信息系统实行备案制。接入单位在政务外网部署信息系统时，应在系统上线或发生变更前向政务外网运行管理部门备案。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第三十条 </w:t>
      </w:r>
      <w:r>
        <w:rPr>
          <w:rFonts w:hint="eastAsia" w:ascii="仿宋_GB2312" w:hAnsi="仿宋_GB2312" w:eastAsia="仿宋_GB2312" w:cs="仿宋_GB2312"/>
          <w:b w:val="0"/>
          <w:bCs w:val="0"/>
          <w:sz w:val="32"/>
          <w:szCs w:val="32"/>
          <w:highlight w:val="none"/>
          <w:lang w:val="en-US" w:eastAsia="zh-CN"/>
        </w:rPr>
        <w:t>接入单位应做好本单位网络设备和业务系统数据的备份和恢复工作，确保在发生网络故障或数据丢失时能够及时恢复数据。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第三十一条 </w:t>
      </w:r>
      <w:r>
        <w:rPr>
          <w:rFonts w:hint="eastAsia" w:ascii="仿宋_GB2312" w:hAnsi="仿宋_GB2312" w:eastAsia="仿宋_GB2312" w:cs="仿宋_GB2312"/>
          <w:b w:val="0"/>
          <w:bCs w:val="0"/>
          <w:sz w:val="32"/>
          <w:szCs w:val="32"/>
          <w:highlight w:val="none"/>
          <w:lang w:val="en-US" w:eastAsia="zh-CN"/>
        </w:rPr>
        <w:t>接入单位应就网络安全、网络技能等对本单位工作人员开展教育和培训，提高其网络安全意识和技能，确保其在政务外网上的行为安全、合法、合规。</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第五章 运维管理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第三十二条 </w:t>
      </w:r>
      <w:r>
        <w:rPr>
          <w:rFonts w:hint="eastAsia" w:ascii="仿宋_GB2312" w:hAnsi="仿宋_GB2312" w:eastAsia="仿宋_GB2312" w:cs="仿宋_GB2312"/>
          <w:b w:val="0"/>
          <w:bCs w:val="0"/>
          <w:sz w:val="32"/>
          <w:szCs w:val="32"/>
          <w:highlight w:val="none"/>
          <w:lang w:val="en-US" w:eastAsia="zh-CN"/>
        </w:rPr>
        <w:t>政务外网运行管理部门与运维单位应建立健全职责明确、运转高效的工作与管理机制，提升网络质量分析、安全监测、态势预警和故障处置能力，确保政务外网安全稳定运行。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54" w:firstLineChars="200"/>
        <w:jc w:val="both"/>
        <w:textAlignment w:val="auto"/>
        <w:rPr>
          <w:rFonts w:hint="eastAsia" w:ascii="仿宋_GB2312" w:hAnsi="仿宋_GB2312" w:eastAsia="仿宋_GB2312" w:cs="仿宋_GB2312"/>
          <w:b w:val="0"/>
          <w:bCs w:val="0"/>
          <w:w w:val="102"/>
          <w:sz w:val="32"/>
          <w:szCs w:val="32"/>
          <w:highlight w:val="none"/>
          <w:lang w:val="en-US" w:eastAsia="zh-CN"/>
        </w:rPr>
      </w:pPr>
      <w:r>
        <w:rPr>
          <w:rFonts w:hint="eastAsia" w:ascii="仿宋_GB2312" w:hAnsi="仿宋_GB2312" w:eastAsia="仿宋_GB2312" w:cs="仿宋_GB2312"/>
          <w:b/>
          <w:bCs/>
          <w:w w:val="102"/>
          <w:sz w:val="32"/>
          <w:szCs w:val="32"/>
          <w:highlight w:val="none"/>
          <w:lang w:val="en-US" w:eastAsia="zh-CN"/>
        </w:rPr>
        <w:t xml:space="preserve">第三十三条 </w:t>
      </w:r>
      <w:r>
        <w:rPr>
          <w:rFonts w:hint="eastAsia" w:ascii="仿宋_GB2312" w:hAnsi="仿宋_GB2312" w:eastAsia="仿宋_GB2312" w:cs="仿宋_GB2312"/>
          <w:b w:val="0"/>
          <w:bCs w:val="0"/>
          <w:w w:val="102"/>
          <w:sz w:val="32"/>
          <w:szCs w:val="32"/>
          <w:highlight w:val="none"/>
          <w:lang w:val="en-US" w:eastAsia="zh-CN"/>
        </w:rPr>
        <w:t>运维单位应建立健全政务外网日常运行服务保障机制和值班值守、运维规程、机房管理、应急保障等工作制度。按月度、年度对政务外网运行环境、链路、系统和设备进行监测，分析评估政务外网整体运行情况并向政务外网运行管理部门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第三十四条 </w:t>
      </w:r>
      <w:r>
        <w:rPr>
          <w:rFonts w:hint="eastAsia" w:ascii="仿宋_GB2312" w:hAnsi="仿宋_GB2312" w:eastAsia="仿宋_GB2312" w:cs="仿宋_GB2312"/>
          <w:b w:val="0"/>
          <w:bCs w:val="0"/>
          <w:sz w:val="32"/>
          <w:szCs w:val="32"/>
          <w:highlight w:val="none"/>
          <w:lang w:val="en-US" w:eastAsia="zh-CN"/>
        </w:rPr>
        <w:t>运维单位应强化网络基础设施资产管控能力，健全网络资源动态调整机制，主动监测分析并合理优化配置网络资源。</w:t>
      </w:r>
      <w:r>
        <w:rPr>
          <w:rFonts w:hint="eastAsia" w:ascii="仿宋_GB2312" w:hAnsi="仿宋_GB2312" w:eastAsia="仿宋_GB2312" w:cs="仿宋_GB2312"/>
          <w:i w:val="0"/>
          <w:iCs w:val="0"/>
          <w:caps w:val="0"/>
          <w:color w:val="auto"/>
          <w:spacing w:val="0"/>
          <w:kern w:val="2"/>
          <w:sz w:val="32"/>
          <w:szCs w:val="32"/>
          <w:highlight w:val="none"/>
          <w:shd w:val="clear"/>
          <w:lang w:val="en-US" w:eastAsia="zh-CN" w:bidi="ar"/>
        </w:rPr>
        <w:t>运维单位不得留存与业务无关的用户数据，未经审批不得进行网络流量镜像截取、保存。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第三十五条 </w:t>
      </w:r>
      <w:r>
        <w:rPr>
          <w:rFonts w:hint="eastAsia" w:ascii="仿宋_GB2312" w:hAnsi="仿宋_GB2312" w:eastAsia="仿宋_GB2312" w:cs="仿宋_GB2312"/>
          <w:b w:val="0"/>
          <w:bCs w:val="0"/>
          <w:sz w:val="32"/>
          <w:szCs w:val="32"/>
          <w:highlight w:val="none"/>
          <w:lang w:val="en-US" w:eastAsia="zh-CN"/>
        </w:rPr>
        <w:t>运维单位若需进行网络调试或升级，须提前向政务外网运行管理部门提出申请，经审核同意后方可执行。重大调整须附实施方案，经运行管理部门审核并报备主管部门后方可执行。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第三十六条</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sz w:val="32"/>
          <w:szCs w:val="32"/>
          <w:highlight w:val="none"/>
          <w:lang w:val="en-US" w:eastAsia="zh-CN"/>
        </w:rPr>
        <w:t>运维单位须建立并完善内部网络安全应急预案和应急响应机制，定期开展网络安全风险评估、培训及应急演练，切实提升网络运维工作应急处置能力。</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第六章 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第三十七条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rPr>
        <w:t>政务外网主管部门、</w:t>
      </w:r>
      <w:r>
        <w:rPr>
          <w:rFonts w:hint="eastAsia" w:ascii="仿宋_GB2312" w:hAnsi="仿宋_GB2312" w:eastAsia="仿宋_GB2312" w:cs="仿宋_GB2312"/>
          <w:b w:val="0"/>
          <w:bCs w:val="0"/>
          <w:sz w:val="32"/>
          <w:szCs w:val="32"/>
          <w:highlight w:val="none"/>
          <w:lang w:val="en-US" w:eastAsia="zh-CN"/>
        </w:rPr>
        <w:t>运行管理部门、接入部门、运维单位须严格遵守《中华人民共和国网络安全法》《中华人民共和国数据安全法》《中华人民共和国关键信息基础设施安全保护条例》等相关法律法规的规定，严格落实国家网络安全等级保护、关键信息基础设施保护、信任体系建设以及工作秘密信息管理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第三十八条</w:t>
      </w:r>
      <w:r>
        <w:rPr>
          <w:rFonts w:hint="eastAsia" w:ascii="仿宋_GB2312" w:hAnsi="仿宋_GB2312" w:eastAsia="仿宋_GB2312" w:cs="仿宋_GB2312"/>
          <w:b w:val="0"/>
          <w:bCs w:val="0"/>
          <w:sz w:val="32"/>
          <w:szCs w:val="32"/>
          <w:highlight w:val="none"/>
          <w:lang w:val="en-US" w:eastAsia="zh-CN"/>
        </w:rPr>
        <w:t xml:space="preserve"> 接入单位对于本单位接入政务外网的子网络须做好边界管理和内部网络安全管理，与其他网络做好物理隔离。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第三十九条</w:t>
      </w:r>
      <w:r>
        <w:rPr>
          <w:rFonts w:hint="eastAsia" w:ascii="仿宋_GB2312" w:hAnsi="仿宋_GB2312" w:eastAsia="仿宋_GB2312" w:cs="仿宋_GB2312"/>
          <w:b w:val="0"/>
          <w:bCs w:val="0"/>
          <w:sz w:val="32"/>
          <w:szCs w:val="32"/>
          <w:highlight w:val="none"/>
          <w:lang w:val="en-US" w:eastAsia="zh-CN"/>
        </w:rPr>
        <w:t xml:space="preserve"> 接入政务外网的终端和设备在入网前，须采取符合要求的安全防护措施，有效防范计算机病毒和网络攻击、网络入侵等危害网络和数据安全行为。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第四十条</w:t>
      </w:r>
      <w:r>
        <w:rPr>
          <w:rFonts w:hint="eastAsia" w:ascii="仿宋_GB2312" w:hAnsi="仿宋_GB2312" w:eastAsia="仿宋_GB2312" w:cs="仿宋_GB2312"/>
          <w:b w:val="0"/>
          <w:bCs w:val="0"/>
          <w:sz w:val="32"/>
          <w:szCs w:val="32"/>
          <w:highlight w:val="none"/>
          <w:lang w:val="en-US" w:eastAsia="zh-CN"/>
        </w:rPr>
        <w:t xml:space="preserve"> 接入政务外网环境的信息系统和政务云平台，使用单位须按国家网络安全等级保护制度和关键信息基础设施安全保护、密码应用安全性评估等相关要求，落实网络安全措施。信息系统上线前须做好相关安全检测工作，确保安全后方可上线运行。政务外网信息系统如需与互联网或其他网络进行业务交互，须通过统一的政务外网安全交换区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第四十一条</w:t>
      </w:r>
      <w:r>
        <w:rPr>
          <w:rFonts w:hint="eastAsia" w:ascii="仿宋_GB2312" w:hAnsi="仿宋_GB2312" w:eastAsia="仿宋_GB2312" w:cs="仿宋_GB2312"/>
          <w:b w:val="0"/>
          <w:bCs w:val="0"/>
          <w:sz w:val="32"/>
          <w:szCs w:val="32"/>
          <w:highlight w:val="none"/>
          <w:lang w:val="en-US" w:eastAsia="zh-CN"/>
        </w:rPr>
        <w:t xml:space="preserve"> 运行管理部门和接入单位须建立健全网络安全应急预案和应急响应联动机制，每年开展网络安全风险评估和应急演练不少</w:t>
      </w:r>
      <w:r>
        <w:rPr>
          <w:rFonts w:hint="eastAsia" w:ascii="Times New Roman" w:hAnsi="Times New Roman" w:eastAsia="仿宋_GB2312" w:cs="Times New Roman"/>
          <w:color w:val="auto"/>
          <w:kern w:val="2"/>
          <w:sz w:val="32"/>
          <w:szCs w:val="32"/>
          <w:highlight w:val="none"/>
          <w:lang w:val="en-US" w:eastAsia="zh-CN" w:bidi="ar-SA"/>
        </w:rPr>
        <w:t>于2次，</w:t>
      </w:r>
      <w:r>
        <w:rPr>
          <w:rFonts w:hint="eastAsia" w:ascii="仿宋_GB2312" w:hAnsi="仿宋_GB2312" w:eastAsia="仿宋_GB2312" w:cs="仿宋_GB2312"/>
          <w:b w:val="0"/>
          <w:bCs w:val="0"/>
          <w:sz w:val="32"/>
          <w:szCs w:val="32"/>
          <w:highlight w:val="none"/>
          <w:lang w:val="en-US" w:eastAsia="zh-CN"/>
        </w:rPr>
        <w:t>及时发现、定位、分析、处置安全事件，切实提升政务外网应急处置能力。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第四十二条</w:t>
      </w:r>
      <w:r>
        <w:rPr>
          <w:rFonts w:hint="eastAsia" w:ascii="仿宋_GB2312" w:hAnsi="仿宋_GB2312" w:eastAsia="仿宋_GB2312" w:cs="仿宋_GB2312"/>
          <w:b w:val="0"/>
          <w:bCs w:val="0"/>
          <w:sz w:val="32"/>
          <w:szCs w:val="32"/>
          <w:highlight w:val="none"/>
          <w:lang w:val="en-US" w:eastAsia="zh-CN"/>
        </w:rPr>
        <w:t xml:space="preserve"> 各接入单位使用政务外网时应遵守以下规定：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政务外网互联网出口统一管理。接入单位原则上不得擅自建立或使用其他互联网出口，须通过政务外网统一出口访问互联网。若因特殊需求需独立互联网出口（如特定业务专网），必须向政务外网主管部门提交书面申请，未经批准不得私自接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（二）不得随意变更、擅自修改政务外网的</w:t>
      </w:r>
      <w:r>
        <w:rPr>
          <w:rFonts w:hint="eastAsia" w:ascii="仿宋_GB2312" w:hAnsi="仿宋_GB2312" w:eastAsia="仿宋_GB2312" w:cs="仿宋_GB2312"/>
          <w:b w:val="0"/>
          <w:bCs w:val="0"/>
          <w:color w:val="auto"/>
          <w:sz w:val="32"/>
          <w:szCs w:val="32"/>
          <w:highlight w:val="none"/>
          <w:lang w:val="en-US" w:eastAsia="zh-CN"/>
        </w:rPr>
        <w:t>主要</w:t>
      </w:r>
      <w:r>
        <w:rPr>
          <w:rFonts w:hint="eastAsia" w:ascii="仿宋_GB2312" w:hAnsi="仿宋_GB2312" w:eastAsia="仿宋_GB2312" w:cs="仿宋_GB2312"/>
          <w:b w:val="0"/>
          <w:bCs w:val="0"/>
          <w:sz w:val="32"/>
          <w:szCs w:val="32"/>
          <w:highlight w:val="none"/>
          <w:lang w:val="en-US" w:eastAsia="zh-CN"/>
        </w:rPr>
        <w:t>连接线路和网络接入设备。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（三）任何部门、单位和个人不得将涉密的计算机、设备（含存储介质）和网络接入政务外网，不得利用政务外网存储、处理、传输涉密信息。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（四）严禁通过政务外网从事非法活动。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（五）接入设备应安装防火墙和防病毒软件，及时更新病毒特征库，每周对全盘进行病毒查杀。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（六）下载软件应从官方网站下载正版软件，及时对操作系统和其他软件进行升级。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（七）严禁在接入政务外网的终端中打开来历不明的网页、邮箱链接、社交软件收到的文件。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（八）终端设备严禁装有和使用任何远程软件（如向日葵、</w:t>
      </w:r>
      <w:r>
        <w:rPr>
          <w:rFonts w:hint="eastAsia" w:ascii="Times New Roman" w:hAnsi="Times New Roman" w:eastAsia="仿宋_GB2312" w:cs="Times New Roman"/>
          <w:color w:val="auto"/>
          <w:kern w:val="2"/>
          <w:sz w:val="32"/>
          <w:szCs w:val="32"/>
          <w:highlight w:val="none"/>
          <w:lang w:val="en-US" w:eastAsia="zh-CN" w:bidi="ar-SA"/>
        </w:rPr>
        <w:t>ToDesk</w:t>
      </w:r>
      <w:r>
        <w:rPr>
          <w:rFonts w:hint="eastAsia" w:ascii="仿宋_GB2312" w:hAnsi="仿宋_GB2312" w:eastAsia="仿宋_GB2312" w:cs="仿宋_GB2312"/>
          <w:b w:val="0"/>
          <w:bCs w:val="0"/>
          <w:sz w:val="32"/>
          <w:szCs w:val="32"/>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（九）接入单位若需进行影响网络和数据安全的漏洞扫描、安全测评等操作，需向政务外网运行管理部门报备。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第四十三条 </w:t>
      </w:r>
      <w:r>
        <w:rPr>
          <w:rFonts w:hint="eastAsia" w:ascii="仿宋_GB2312" w:hAnsi="仿宋_GB2312" w:eastAsia="仿宋_GB2312" w:cs="仿宋_GB2312"/>
          <w:b w:val="0"/>
          <w:bCs w:val="0"/>
          <w:sz w:val="32"/>
          <w:szCs w:val="32"/>
          <w:highlight w:val="none"/>
          <w:lang w:val="en-US" w:eastAsia="zh-CN"/>
        </w:rPr>
        <w:t>接入单位未遵守第四十二条或一周内同一风险</w:t>
      </w:r>
      <w:r>
        <w:rPr>
          <w:rFonts w:hint="eastAsia" w:ascii="Times New Roman" w:hAnsi="Times New Roman" w:eastAsia="仿宋_GB2312" w:cs="Times New Roman"/>
          <w:color w:val="auto"/>
          <w:kern w:val="2"/>
          <w:sz w:val="32"/>
          <w:szCs w:val="32"/>
          <w:highlight w:val="none"/>
          <w:lang w:val="en-US" w:eastAsia="zh-CN" w:bidi="ar-SA"/>
        </w:rPr>
        <w:t>IP地址</w:t>
      </w:r>
      <w:r>
        <w:rPr>
          <w:rFonts w:hint="eastAsia" w:ascii="仿宋_GB2312" w:hAnsi="仿宋_GB2312" w:eastAsia="仿宋_GB2312" w:cs="仿宋_GB2312"/>
          <w:b w:val="0"/>
          <w:bCs w:val="0"/>
          <w:sz w:val="32"/>
          <w:szCs w:val="32"/>
          <w:highlight w:val="none"/>
          <w:lang w:val="en-US" w:eastAsia="zh-CN"/>
        </w:rPr>
        <w:t>出现三次及以上告警信息并未处理的，政务外网运行管理部门将对接入单位发送通告并对风</w:t>
      </w:r>
      <w:r>
        <w:rPr>
          <w:rFonts w:hint="eastAsia" w:ascii="Times New Roman" w:hAnsi="Times New Roman" w:eastAsia="仿宋_GB2312" w:cs="Times New Roman"/>
          <w:color w:val="auto"/>
          <w:kern w:val="2"/>
          <w:sz w:val="32"/>
          <w:szCs w:val="32"/>
          <w:highlight w:val="none"/>
          <w:lang w:val="en-US" w:eastAsia="zh-CN" w:bidi="ar-SA"/>
        </w:rPr>
        <w:t>险IP地址进</w:t>
      </w:r>
      <w:r>
        <w:rPr>
          <w:rFonts w:hint="eastAsia" w:ascii="仿宋_GB2312" w:hAnsi="仿宋_GB2312" w:eastAsia="仿宋_GB2312" w:cs="仿宋_GB2312"/>
          <w:b w:val="0"/>
          <w:bCs w:val="0"/>
          <w:sz w:val="32"/>
          <w:szCs w:val="32"/>
          <w:highlight w:val="none"/>
          <w:lang w:val="en-US" w:eastAsia="zh-CN"/>
        </w:rPr>
        <w:t>行封禁处理，直至安全运行后，予以解封。接入单位出现整体性网络安全问题，影响政务外网正常运行的，政务外网运行管理部门有权中断其与本级政务外网的连接。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第七章 监督与检查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第四十四条</w:t>
      </w:r>
      <w:r>
        <w:rPr>
          <w:rFonts w:hint="eastAsia" w:ascii="仿宋_GB2312" w:hAnsi="仿宋_GB2312" w:eastAsia="仿宋_GB2312" w:cs="仿宋_GB2312"/>
          <w:b w:val="0"/>
          <w:bCs w:val="0"/>
          <w:sz w:val="32"/>
          <w:szCs w:val="32"/>
          <w:highlight w:val="none"/>
          <w:lang w:val="en-US" w:eastAsia="zh-CN"/>
        </w:rPr>
        <w:t xml:space="preserve"> 政务外网主管部门及运行管理部门定期对政务外网运行、使用和安全管理等情况进行检查，对网络安全事件进行通报，责令存在问题的部门、单位限期整改。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第四十五条 </w:t>
      </w:r>
      <w:r>
        <w:rPr>
          <w:rFonts w:hint="eastAsia" w:ascii="仿宋_GB2312" w:hAnsi="仿宋_GB2312" w:eastAsia="仿宋_GB2312" w:cs="仿宋_GB2312"/>
          <w:b w:val="0"/>
          <w:bCs w:val="0"/>
          <w:sz w:val="32"/>
          <w:szCs w:val="32"/>
          <w:highlight w:val="none"/>
          <w:lang w:val="en-US" w:eastAsia="zh-CN"/>
        </w:rPr>
        <w:t>接入部门有下列情形之一的，由政务外网主管部门予以通报；造成严重后果的，由相关网络安全执法部门依法依规追究相应责任。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（一）不履行网络安全保护义务；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（二）拒绝或阻碍有关部门依法依规实施监督检查；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（三）频繁存在大量告警未及时处理，或连续三次收到政务外网运行管理部门或网络安全检查部门网络风险通知；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（四）突发大量的攻击或被攻击失陷；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第四十六条 </w:t>
      </w:r>
      <w:r>
        <w:rPr>
          <w:rFonts w:hint="eastAsia" w:ascii="仿宋_GB2312" w:hAnsi="仿宋_GB2312" w:eastAsia="仿宋_GB2312" w:cs="仿宋_GB2312"/>
          <w:b w:val="0"/>
          <w:bCs w:val="0"/>
          <w:sz w:val="32"/>
          <w:szCs w:val="32"/>
          <w:highlight w:val="none"/>
          <w:lang w:val="en-US" w:eastAsia="zh-CN"/>
        </w:rPr>
        <w:t>运行管理部门应建立政务外网运维绩效评估机制，定期对政务外网运维单位的服务质量、技术支撑、运行维护和安全保障等方面进行监督与检查。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FFFFFF"/>
        <w:suppressAutoHyphens/>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国标黑体" w:hAnsi="国标黑体" w:eastAsia="国标黑体" w:cs="国标黑体"/>
          <w:b w:val="0"/>
          <w:bCs w:val="0"/>
          <w:color w:val="auto"/>
          <w:sz w:val="32"/>
          <w:szCs w:val="32"/>
          <w:highlight w:val="none"/>
          <w:lang w:val="en-US" w:eastAsia="zh-CN"/>
        </w:rPr>
      </w:pPr>
      <w:r>
        <w:rPr>
          <w:rFonts w:hint="eastAsia" w:ascii="国标黑体" w:hAnsi="国标黑体" w:eastAsia="国标黑体" w:cs="国标黑体"/>
          <w:b w:val="0"/>
          <w:bCs w:val="0"/>
          <w:color w:val="auto"/>
          <w:sz w:val="32"/>
          <w:szCs w:val="32"/>
          <w:highlight w:val="none"/>
          <w:lang w:val="en-US" w:eastAsia="zh-CN"/>
        </w:rPr>
        <w:t>第八章 附则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560" w:lineRule="exact"/>
        <w:ind w:left="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第四十七条</w:t>
      </w:r>
      <w:r>
        <w:rPr>
          <w:rFonts w:hint="eastAsia" w:ascii="仿宋_GB2312" w:hAnsi="仿宋_GB2312" w:eastAsia="仿宋_GB2312" w:cs="仿宋_GB2312"/>
          <w:b w:val="0"/>
          <w:bCs w:val="0"/>
          <w:sz w:val="32"/>
          <w:szCs w:val="32"/>
          <w:highlight w:val="none"/>
          <w:lang w:val="en-US" w:eastAsia="zh-CN"/>
        </w:rPr>
        <w:t xml:space="preserve"> 本办法由包头市行政审批政务服务与数据管理局负责解释，自发布之日起施行。各旗县区可依据本办法制定本级政务外网使用与管理工作办法或规范。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w:t>
      </w:r>
      <w:r>
        <w:rPr>
          <w:rFonts w:hint="eastAsia" w:ascii="Times New Roman" w:hAnsi="Times New Roman" w:eastAsia="仿宋_GB2312" w:cs="Times New Roman"/>
          <w:color w:val="auto"/>
          <w:kern w:val="2"/>
          <w:sz w:val="32"/>
          <w:szCs w:val="32"/>
          <w:highlight w:val="none"/>
          <w:lang w:val="en-US" w:eastAsia="zh-CN" w:bidi="ar-SA"/>
        </w:rPr>
        <w:t>1.包</w:t>
      </w:r>
      <w:r>
        <w:rPr>
          <w:rFonts w:hint="eastAsia" w:ascii="仿宋_GB2312" w:hAnsi="仿宋_GB2312" w:eastAsia="仿宋_GB2312" w:cs="仿宋_GB2312"/>
          <w:b w:val="0"/>
          <w:bCs w:val="0"/>
          <w:sz w:val="32"/>
          <w:szCs w:val="32"/>
          <w:highlight w:val="none"/>
          <w:lang w:val="en-US" w:eastAsia="zh-CN"/>
        </w:rPr>
        <w:t>头市电子政务外网互联网接入安全责任书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360" w:firstLineChars="425"/>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2.包头</w:t>
      </w:r>
      <w:r>
        <w:rPr>
          <w:rFonts w:hint="eastAsia" w:ascii="仿宋_GB2312" w:hAnsi="仿宋_GB2312" w:eastAsia="仿宋_GB2312" w:cs="仿宋_GB2312"/>
          <w:b w:val="0"/>
          <w:bCs w:val="0"/>
          <w:sz w:val="32"/>
          <w:szCs w:val="32"/>
          <w:highlight w:val="none"/>
          <w:lang w:val="en-US" w:eastAsia="zh-CN"/>
        </w:rPr>
        <w:t>市电子政务</w:t>
      </w:r>
      <w:r>
        <w:rPr>
          <w:rFonts w:hint="eastAsia" w:ascii="Times New Roman" w:hAnsi="Times New Roman" w:eastAsia="仿宋_GB2312" w:cs="Times New Roman"/>
          <w:color w:val="auto"/>
          <w:kern w:val="2"/>
          <w:sz w:val="32"/>
          <w:szCs w:val="32"/>
          <w:highlight w:val="none"/>
          <w:lang w:val="en-US" w:eastAsia="zh-CN" w:bidi="ar-SA"/>
        </w:rPr>
        <w:t>外网IP地</w:t>
      </w:r>
      <w:r>
        <w:rPr>
          <w:rFonts w:hint="eastAsia" w:ascii="仿宋_GB2312" w:hAnsi="仿宋_GB2312" w:eastAsia="仿宋_GB2312" w:cs="仿宋_GB2312"/>
          <w:b w:val="0"/>
          <w:bCs w:val="0"/>
          <w:sz w:val="32"/>
          <w:szCs w:val="32"/>
          <w:highlight w:val="none"/>
          <w:lang w:val="en-US" w:eastAsia="zh-CN"/>
        </w:rPr>
        <w:t>址确认书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360" w:firstLineChars="425"/>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3.包</w:t>
      </w:r>
      <w:r>
        <w:rPr>
          <w:rFonts w:hint="eastAsia" w:ascii="仿宋_GB2312" w:hAnsi="仿宋_GB2312" w:eastAsia="仿宋_GB2312" w:cs="仿宋_GB2312"/>
          <w:b w:val="0"/>
          <w:bCs w:val="0"/>
          <w:sz w:val="32"/>
          <w:szCs w:val="32"/>
          <w:highlight w:val="none"/>
          <w:lang w:val="en-US" w:eastAsia="zh-CN"/>
        </w:rPr>
        <w:t>头市电子政务外网网络运维信息表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360" w:firstLineChars="425"/>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4.包头</w:t>
      </w:r>
      <w:r>
        <w:rPr>
          <w:rFonts w:hint="eastAsia" w:ascii="仿宋_GB2312" w:hAnsi="仿宋_GB2312" w:eastAsia="仿宋_GB2312" w:cs="仿宋_GB2312"/>
          <w:b w:val="0"/>
          <w:bCs w:val="0"/>
          <w:sz w:val="32"/>
          <w:szCs w:val="32"/>
          <w:highlight w:val="none"/>
          <w:lang w:val="en-US" w:eastAsia="zh-CN"/>
        </w:rPr>
        <w:t>市电子政务外网业务申请单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360" w:firstLineChars="425"/>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5.包</w:t>
      </w:r>
      <w:r>
        <w:rPr>
          <w:rFonts w:hint="eastAsia" w:ascii="仿宋_GB2312" w:hAnsi="仿宋_GB2312" w:eastAsia="仿宋_GB2312" w:cs="仿宋_GB2312"/>
          <w:b w:val="0"/>
          <w:bCs w:val="0"/>
          <w:sz w:val="32"/>
          <w:szCs w:val="32"/>
          <w:highlight w:val="none"/>
          <w:lang w:val="en-US" w:eastAsia="zh-CN"/>
        </w:rPr>
        <w:t>头市电子政务外网用户申请表</w:t>
      </w:r>
    </w:p>
    <w:p>
      <w:pPr>
        <w:keepNext w:val="0"/>
        <w:keepLines w:val="0"/>
        <w:pageBreakBefore w:val="0"/>
        <w:widowControl w:val="0"/>
        <w:kinsoku/>
        <w:wordWrap/>
        <w:overflowPunct/>
        <w:topLinePunct w:val="0"/>
        <w:autoSpaceDE/>
        <w:autoSpaceDN/>
        <w:bidi w:val="0"/>
        <w:adjustRightInd/>
        <w:snapToGrid/>
        <w:spacing w:line="560" w:lineRule="exact"/>
        <w:ind w:left="0" w:firstLine="1360" w:firstLineChars="425"/>
        <w:jc w:val="both"/>
        <w:textAlignment w:val="auto"/>
        <w:rPr>
          <w:rFonts w:hint="eastAsia" w:ascii="仿宋_GB2312" w:hAnsi="仿宋_GB2312" w:eastAsia="仿宋_GB2312" w:cs="仿宋_GB2312"/>
          <w:b w:val="0"/>
          <w:bCs w:val="0"/>
          <w:sz w:val="32"/>
          <w:szCs w:val="32"/>
          <w:highlight w:val="none"/>
          <w:lang w:val="en-US" w:eastAsia="zh-CN"/>
        </w:rPr>
        <w:sectPr>
          <w:footerReference r:id="rId3" w:type="default"/>
          <w:pgSz w:w="11906" w:h="16838"/>
          <w:pgMar w:top="1984" w:right="1531" w:bottom="1984" w:left="1531" w:header="720" w:footer="720" w:gutter="0"/>
          <w:pgNumType w:fmt="numberInDash" w:start="2"/>
          <w:cols w:space="720" w:num="1"/>
          <w:docGrid w:type="lines" w:linePitch="312" w:charSpace="0"/>
        </w:sectPr>
      </w:pPr>
      <w:r>
        <w:rPr>
          <w:rFonts w:hint="eastAsia" w:ascii="Times New Roman" w:hAnsi="Times New Roman" w:eastAsia="仿宋_GB2312" w:cs="Times New Roman"/>
          <w:color w:val="auto"/>
          <w:kern w:val="2"/>
          <w:sz w:val="32"/>
          <w:szCs w:val="32"/>
          <w:highlight w:val="none"/>
          <w:lang w:val="en-US" w:eastAsia="zh-CN" w:bidi="ar-SA"/>
        </w:rPr>
        <w:t>6.政</w:t>
      </w:r>
      <w:r>
        <w:rPr>
          <w:rFonts w:hint="eastAsia" w:ascii="仿宋_GB2312" w:hAnsi="仿宋_GB2312" w:eastAsia="仿宋_GB2312" w:cs="仿宋_GB2312"/>
          <w:b w:val="0"/>
          <w:bCs w:val="0"/>
          <w:sz w:val="32"/>
          <w:szCs w:val="32"/>
          <w:highlight w:val="none"/>
          <w:lang w:val="en-US" w:eastAsia="zh-CN"/>
        </w:rPr>
        <w:t>务数据使用保密承诺书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spacing w:val="-6"/>
          <w:sz w:val="32"/>
          <w:szCs w:val="32"/>
          <w:shd w:val="clear" w:color="auto" w:fill="auto"/>
          <w:lang w:val="en-US" w:eastAsia="zh-CN"/>
        </w:rPr>
      </w:pPr>
      <w:r>
        <w:rPr>
          <w:rFonts w:hint="eastAsia" w:ascii="黑体" w:hAnsi="黑体" w:eastAsia="黑体" w:cs="黑体"/>
          <w:spacing w:val="-6"/>
          <w:sz w:val="32"/>
          <w:szCs w:val="32"/>
          <w:shd w:val="clear" w:color="auto" w:fill="auto"/>
          <w:lang w:val="en-US" w:eastAsia="zh-CN"/>
        </w:rPr>
        <w:t>附件1</w:t>
      </w:r>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57" w:beforeLines="50" w:afterLines="0" w:line="300" w:lineRule="exact"/>
        <w:ind w:right="23" w:rightChars="0"/>
        <w:jc w:val="center"/>
        <w:textAlignment w:val="auto"/>
        <w:rPr>
          <w:rFonts w:hint="eastAsia" w:ascii="仿宋" w:hAnsi="仿宋" w:eastAsia="仿宋" w:cs="仿宋"/>
          <w:sz w:val="24"/>
          <w:szCs w:val="24"/>
          <w:highlight w:val="none"/>
          <w:lang w:val="zh-CN" w:eastAsia="zh-CN"/>
        </w:rPr>
      </w:pPr>
      <w:r>
        <w:rPr>
          <w:rFonts w:hint="eastAsia" w:ascii="方正小标宋简体" w:hAnsi="方正小标宋简体" w:eastAsia="方正小标宋简体" w:cs="方正小标宋简体"/>
          <w:sz w:val="36"/>
          <w:szCs w:val="36"/>
          <w:highlight w:val="none"/>
          <w:lang w:val="zh-CN" w:eastAsia="zh-CN"/>
        </w:rPr>
        <w:t>包头市电子政务外网互联网接入安全责任书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根据中华人民共和国工业和信息化部、公安部等部委关于加强在公共信息服务中传播信息管理的有关规定及国家有关部门的相关精神，从事互联网信息服务的单位，在信息内容管理上必须遵守以下规定：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一、各单位从事的互联网信息服务活动必须首先获得国家相关部门的批准，并遵守 《中华人民共和国计算机信息系统安全保护条例》、《计算机信息网络国际联网安全保护管理办法》等有关法律、法规和行政规章。</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二、各单位用户保证不利用国际互联网危害国家安全、泄露国家</w:t>
      </w:r>
      <w:r>
        <w:rPr>
          <w:rFonts w:hint="eastAsia" w:ascii="仿宋" w:hAnsi="仿宋" w:eastAsia="仿宋" w:cs="仿宋"/>
          <w:highlight w:val="none"/>
          <w:lang w:eastAsia="zh-CN"/>
        </w:rPr>
        <w:t>秘密</w:t>
      </w:r>
      <w:r>
        <w:rPr>
          <w:rFonts w:hint="eastAsia" w:ascii="仿宋" w:hAnsi="仿宋" w:eastAsia="仿宋" w:cs="仿宋"/>
          <w:highlight w:val="none"/>
        </w:rPr>
        <w:t>，不侵犯国家的、社会的、集体的利益和公民的合法权益，不从事违法犯罪活动。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三、各单位用户承诺不制作、复制、查阅和传播下列信息：</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1.反对宪法所确定的基本原则、损害国家荣誉和利益的；</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 xml:space="preserve">2.危害国家安全、泄露国家秘密、颠覆国家政权、破坏国家统一的；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 xml:space="preserve">3.煽动民族仇恨、民族歧视，破坏民族团结的；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en-US" w:eastAsia="zh-CN"/>
        </w:rPr>
        <w:t>.</w:t>
      </w:r>
      <w:r>
        <w:rPr>
          <w:rFonts w:hint="eastAsia" w:ascii="仿宋" w:hAnsi="仿宋" w:eastAsia="仿宋" w:cs="仿宋"/>
          <w:highlight w:val="none"/>
        </w:rPr>
        <w:t xml:space="preserve">破坏国家宗教政策，宣扬邪教和封建迷信的；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en-US" w:eastAsia="zh-CN"/>
        </w:rPr>
        <w:t>.</w:t>
      </w:r>
      <w:r>
        <w:rPr>
          <w:rFonts w:hint="eastAsia" w:ascii="仿宋" w:hAnsi="仿宋" w:eastAsia="仿宋" w:cs="仿宋"/>
          <w:highlight w:val="none"/>
        </w:rPr>
        <w:t xml:space="preserve">散布谣言，扰乱杜会秩序，破坏社会稳定的；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 xml:space="preserve">6.散布淫秽、色情、赌博、暴力、凶杀、恐怖或者教唆犯罪的；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7.含有法律、行政法规禁止的其他内容的。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四、关于电子邮件发送，承诺不发送以下类型的垃圾邮件：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1.未经接收者许可的电子邮件广告、刊物或其他资料；</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2.没有明确的退信方法、发信人、回信地址等发信方信息的邮件；</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rPr>
      </w:pPr>
      <w:r>
        <w:rPr>
          <w:rFonts w:hint="eastAsia" w:ascii="仿宋" w:hAnsi="仿宋" w:eastAsia="仿宋" w:cs="仿宋"/>
          <w:highlight w:val="none"/>
        </w:rPr>
        <w:t>3.违反其他IPS安全策略或服务条款的邮件</w:t>
      </w:r>
      <w:r>
        <w:rPr>
          <w:rFonts w:hint="eastAsia" w:ascii="仿宋" w:hAnsi="仿宋" w:eastAsia="仿宋" w:cs="仿宋"/>
          <w:highlight w:val="none"/>
          <w:lang w:eastAsia="zh-CN"/>
        </w:rPr>
        <w:t>；</w:t>
      </w:r>
      <w:r>
        <w:rPr>
          <w:rFonts w:hint="eastAsia" w:ascii="仿宋" w:hAnsi="仿宋" w:eastAsia="仿宋" w:cs="仿宋"/>
          <w:highlight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仿宋" w:hAnsi="仿宋" w:eastAsia="仿宋" w:cs="仿宋"/>
          <w:highlight w:val="none"/>
          <w:lang w:eastAsia="zh-CN"/>
        </w:rPr>
      </w:pPr>
      <w:r>
        <w:rPr>
          <w:rFonts w:hint="eastAsia" w:ascii="仿宋" w:hAnsi="仿宋" w:eastAsia="仿宋" w:cs="仿宋"/>
          <w:highlight w:val="none"/>
        </w:rPr>
        <w:t>4.各单位利用政务外网分配给其的IP地址发布的上述邮件视同其行为</w:t>
      </w:r>
      <w:r>
        <w:rPr>
          <w:rFonts w:hint="eastAsia" w:ascii="仿宋" w:hAnsi="仿宋" w:eastAsia="仿宋" w:cs="仿宋"/>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五、各单位要对执行信息内容管理制度组织自查，发现问题立即处理，切实落实信息安全责任制，并加强从事信息管理工作人员的教育检查工作。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六、各单位有义务按照电子政务外网的要求提供网络使用情况(如IP地址、</w:t>
      </w:r>
      <w:r>
        <w:rPr>
          <w:rFonts w:hint="eastAsia" w:ascii="仿宋" w:hAnsi="仿宋" w:eastAsia="仿宋" w:cs="仿宋"/>
          <w:highlight w:val="none"/>
          <w:lang w:eastAsia="zh-CN"/>
        </w:rPr>
        <w:t>帐</w:t>
      </w:r>
      <w:r>
        <w:rPr>
          <w:rFonts w:hint="eastAsia" w:ascii="仿宋" w:hAnsi="仿宋" w:eastAsia="仿宋" w:cs="仿宋"/>
          <w:highlight w:val="none"/>
        </w:rPr>
        <w:t>户名等），填写政务外网要求提供的资料，接受相关部门的检查。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七、</w:t>
      </w:r>
      <w:r>
        <w:rPr>
          <w:rFonts w:hint="eastAsia" w:ascii="仿宋" w:hAnsi="仿宋" w:eastAsia="仿宋" w:cs="仿宋"/>
          <w:highlight w:val="none"/>
          <w:lang w:eastAsia="zh-CN"/>
        </w:rPr>
        <w:t>给</w:t>
      </w:r>
      <w:r>
        <w:rPr>
          <w:rFonts w:hint="eastAsia" w:ascii="仿宋" w:hAnsi="仿宋" w:eastAsia="仿宋" w:cs="仿宋"/>
          <w:highlight w:val="none"/>
        </w:rPr>
        <w:t>各单位分配</w:t>
      </w:r>
      <w:r>
        <w:rPr>
          <w:rFonts w:hint="eastAsia" w:ascii="仿宋" w:hAnsi="仿宋" w:eastAsia="仿宋" w:cs="仿宋"/>
          <w:highlight w:val="none"/>
          <w:lang w:eastAsia="zh-CN"/>
        </w:rPr>
        <w:t>的</w:t>
      </w:r>
      <w:r>
        <w:rPr>
          <w:rFonts w:hint="eastAsia" w:ascii="仿宋" w:hAnsi="仿宋" w:eastAsia="仿宋" w:cs="仿宋"/>
          <w:highlight w:val="none"/>
        </w:rPr>
        <w:t>电子政务外网IP地址，由各单位指定的部门和</w:t>
      </w:r>
      <w:r>
        <w:rPr>
          <w:rFonts w:hint="eastAsia" w:ascii="仿宋" w:hAnsi="仿宋" w:eastAsia="仿宋" w:cs="仿宋"/>
          <w:highlight w:val="none"/>
          <w:lang w:eastAsia="zh-CN"/>
        </w:rPr>
        <w:t>网管</w:t>
      </w:r>
      <w:r>
        <w:rPr>
          <w:rFonts w:hint="eastAsia" w:ascii="仿宋" w:hAnsi="仿宋" w:eastAsia="仿宋" w:cs="仿宋"/>
          <w:highlight w:val="none"/>
        </w:rPr>
        <w:t>员分配管理、不得重复分配，各单位只有使用权、管理权，不可转让他人使用。如因管理使用不当造成的后果由本单位承担责任。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八、各单位授权人员进入电子政务机房操作时，应遵守机房规定，对因违反规定造成设备损坏或运行中断的，应负责赔偿损失。</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我单位作为本协议服务用户，郑重承诺遵守本责任书中的各项规定，如有违反本责任书的行为，由本单位承担由此带来的一切民事、行政和刑事责任。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使用单位名称：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使用单位责任人： （签字、盖章）</w:t>
      </w:r>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highlight w:val="none"/>
        </w:rPr>
        <w:t xml:space="preserve">                                             日期：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pacing w:val="-6"/>
          <w:sz w:val="32"/>
          <w:szCs w:val="32"/>
          <w:shd w:val="clear" w:color="auto" w:fill="auto"/>
          <w:lang w:val="en-US" w:eastAsia="zh-CN"/>
        </w:rPr>
      </w:pPr>
      <w:r>
        <w:rPr>
          <w:rFonts w:hint="eastAsia" w:ascii="黑体" w:hAnsi="黑体" w:eastAsia="黑体" w:cs="黑体"/>
          <w:spacing w:val="-6"/>
          <w:sz w:val="32"/>
          <w:szCs w:val="32"/>
          <w:shd w:val="clear" w:color="auto" w:fill="auto"/>
          <w:lang w:val="en-US" w:eastAsia="zh-CN"/>
        </w:rPr>
        <w:t>附件2</w:t>
      </w:r>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57" w:beforeLines="50" w:afterLines="0" w:line="560" w:lineRule="exact"/>
        <w:ind w:right="23" w:righ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包头市电子政务外网IP地址确认书</w:t>
      </w:r>
    </w:p>
    <w:p>
      <w:pPr>
        <w:bidi w:val="0"/>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加强对我市电子政务外网平台的管理工作，提高整体服务能力和服务质量，规范运行服务管理，确保包头市政务外网安全可靠运行，根据《中华人民共和国计算机信息系统安全保护条例》《国家电子政务外网运行服务管理暂行办法》《国家电子政务外网网络与信息安全管理暂行办法》等有关规定，结合我市实际情况，市大数据中心为各单位统一规划并分配电子政务外网</w:t>
      </w:r>
      <w:r>
        <w:rPr>
          <w:rFonts w:hint="eastAsia" w:ascii="Times New Roman" w:hAnsi="Times New Roman" w:eastAsia="仿宋_GB2312" w:cs="Times New Roman"/>
          <w:color w:val="auto"/>
          <w:kern w:val="2"/>
          <w:sz w:val="32"/>
          <w:szCs w:val="32"/>
          <w:highlight w:val="none"/>
          <w:lang w:val="en-US" w:eastAsia="zh-CN" w:bidi="ar-SA"/>
        </w:rPr>
        <w:t>IP地</w:t>
      </w:r>
      <w:r>
        <w:rPr>
          <w:rFonts w:hint="eastAsia" w:ascii="仿宋_GB2312" w:hAnsi="仿宋_GB2312" w:eastAsia="仿宋_GB2312" w:cs="仿宋_GB2312"/>
          <w:b w:val="0"/>
          <w:bCs w:val="0"/>
          <w:sz w:val="32"/>
          <w:szCs w:val="32"/>
          <w:highlight w:val="none"/>
          <w:lang w:val="en-US" w:eastAsia="zh-CN"/>
        </w:rPr>
        <w:t>址，各使用单位需明确网络管理人员并对本单</w:t>
      </w:r>
      <w:r>
        <w:rPr>
          <w:rFonts w:hint="eastAsia" w:ascii="Times New Roman" w:hAnsi="Times New Roman" w:eastAsia="仿宋_GB2312" w:cs="Times New Roman"/>
          <w:color w:val="auto"/>
          <w:kern w:val="2"/>
          <w:sz w:val="32"/>
          <w:szCs w:val="32"/>
          <w:highlight w:val="none"/>
          <w:lang w:val="en-US" w:eastAsia="zh-CN" w:bidi="ar-SA"/>
        </w:rPr>
        <w:t>位IP地</w:t>
      </w:r>
      <w:r>
        <w:rPr>
          <w:rFonts w:hint="eastAsia" w:ascii="仿宋_GB2312" w:hAnsi="仿宋_GB2312" w:eastAsia="仿宋_GB2312" w:cs="仿宋_GB2312"/>
          <w:b w:val="0"/>
          <w:bCs w:val="0"/>
          <w:sz w:val="32"/>
          <w:szCs w:val="32"/>
          <w:highlight w:val="none"/>
          <w:lang w:val="en-US" w:eastAsia="zh-CN"/>
        </w:rPr>
        <w:t>址进行统一管理。若因本单位内部人员随意改动</w:t>
      </w:r>
      <w:r>
        <w:rPr>
          <w:rFonts w:hint="eastAsia" w:ascii="Times New Roman" w:hAnsi="Times New Roman" w:eastAsia="仿宋_GB2312" w:cs="Times New Roman"/>
          <w:color w:val="auto"/>
          <w:kern w:val="2"/>
          <w:sz w:val="32"/>
          <w:szCs w:val="32"/>
          <w:highlight w:val="none"/>
          <w:lang w:val="en-US" w:eastAsia="zh-CN" w:bidi="ar-SA"/>
        </w:rPr>
        <w:t>IP地址造</w:t>
      </w:r>
      <w:r>
        <w:rPr>
          <w:rFonts w:hint="eastAsia" w:ascii="仿宋_GB2312" w:hAnsi="仿宋_GB2312" w:eastAsia="仿宋_GB2312" w:cs="仿宋_GB2312"/>
          <w:b w:val="0"/>
          <w:bCs w:val="0"/>
          <w:sz w:val="32"/>
          <w:szCs w:val="32"/>
          <w:highlight w:val="none"/>
          <w:lang w:val="en-US" w:eastAsia="zh-CN"/>
        </w:rPr>
        <w:t>成冲突或错误接线形成环路，导致无法上网等一切后果由本单位自行负责。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现</w:t>
      </w:r>
      <w:r>
        <w:rPr>
          <w:rFonts w:hint="eastAsia" w:ascii="Times New Roman" w:hAnsi="Times New Roman" w:eastAsia="仿宋_GB2312" w:cs="Times New Roman"/>
          <w:color w:val="auto"/>
          <w:kern w:val="2"/>
          <w:sz w:val="32"/>
          <w:szCs w:val="32"/>
          <w:highlight w:val="none"/>
          <w:lang w:val="en-US" w:eastAsia="zh-CN" w:bidi="ar-SA"/>
        </w:rPr>
        <w:t>将xxx.xxx.xxx.xxx地</w:t>
      </w:r>
      <w:r>
        <w:rPr>
          <w:rFonts w:hint="eastAsia" w:ascii="仿宋_GB2312" w:hAnsi="仿宋_GB2312" w:eastAsia="仿宋_GB2312" w:cs="仿宋_GB2312"/>
          <w:b w:val="0"/>
          <w:bCs w:val="0"/>
          <w:sz w:val="32"/>
          <w:szCs w:val="32"/>
          <w:highlight w:val="none"/>
          <w:lang w:val="en-US" w:eastAsia="zh-CN"/>
        </w:rPr>
        <w:t>址段规划给你单位使用，由网络管理员进行内部分配并管理，避免出现重复分配IP地址造成网络冲突等无法正常上网的情况。</w:t>
      </w:r>
    </w:p>
    <w:p>
      <w:pPr>
        <w:bidi w:val="0"/>
        <w:ind w:firstLine="640" w:firstLineChars="200"/>
        <w:jc w:val="left"/>
        <w:rPr>
          <w:rFonts w:hint="eastAsia" w:ascii="仿宋" w:hAnsi="仿宋" w:eastAsia="仿宋" w:cs="仿宋"/>
          <w:sz w:val="32"/>
          <w:szCs w:val="32"/>
          <w:highlight w:val="none"/>
          <w:lang w:val="en-US" w:eastAsia="zh-CN"/>
        </w:rPr>
      </w:pPr>
    </w:p>
    <w:p>
      <w:pPr>
        <w:bidi w:val="0"/>
        <w:ind w:firstLine="640" w:firstLineChars="200"/>
        <w:jc w:val="left"/>
        <w:rPr>
          <w:rFonts w:hint="eastAsia" w:ascii="仿宋" w:hAnsi="仿宋" w:eastAsia="仿宋" w:cs="仿宋"/>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负责人：      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联系人：      电话： </w:t>
      </w:r>
    </w:p>
    <w:p>
      <w:pPr>
        <w:bidi w:val="0"/>
        <w:ind w:firstLine="640" w:firstLineChars="200"/>
        <w:jc w:val="left"/>
        <w:rPr>
          <w:rFonts w:hint="eastAsia" w:ascii="仿宋" w:hAnsi="仿宋" w:eastAsia="仿宋" w:cs="仿宋"/>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righ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单位名称：（加盖公章）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28"/>
          <w:szCs w:val="28"/>
          <w:highlight w:val="none"/>
          <w:lang w:val="en-US" w:eastAsia="zh-CN"/>
        </w:rPr>
        <w:sectPr>
          <w:pgSz w:w="11906" w:h="16838"/>
          <w:pgMar w:top="1984" w:right="1531" w:bottom="1984" w:left="1531" w:header="851" w:footer="992" w:gutter="0"/>
          <w:pgNumType w:fmt="numberInDash"/>
          <w:cols w:space="0" w:num="1"/>
          <w:rtlGutter w:val="0"/>
          <w:docGrid w:type="lines" w:linePitch="312" w:charSpace="0"/>
        </w:sectPr>
      </w:pPr>
      <w:r>
        <w:rPr>
          <w:rFonts w:hint="eastAsia" w:ascii="仿宋_GB2312" w:hAnsi="仿宋_GB2312" w:eastAsia="仿宋_GB2312" w:cs="仿宋_GB2312"/>
          <w:b w:val="0"/>
          <w:bCs w:val="0"/>
          <w:sz w:val="32"/>
          <w:szCs w:val="32"/>
          <w:highlight w:val="none"/>
          <w:lang w:val="en-US" w:eastAsia="zh-CN"/>
        </w:rPr>
        <w:t xml:space="preserve">                               年  月  日    </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spacing w:val="-6"/>
          <w:sz w:val="32"/>
          <w:szCs w:val="32"/>
          <w:shd w:val="clear" w:color="auto" w:fill="auto"/>
          <w:lang w:val="en-US" w:eastAsia="zh-CN"/>
        </w:rPr>
      </w:pPr>
      <w:r>
        <w:rPr>
          <w:rFonts w:hint="eastAsia" w:ascii="黑体" w:hAnsi="黑体" w:eastAsia="黑体" w:cs="黑体"/>
          <w:spacing w:val="-6"/>
          <w:sz w:val="32"/>
          <w:szCs w:val="32"/>
          <w:shd w:val="clear" w:color="auto" w:fill="auto"/>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spacing w:line="7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包头市电子政务外网</w:t>
      </w:r>
      <w:r>
        <w:rPr>
          <w:rFonts w:hint="eastAsia" w:ascii="方正小标宋简体" w:hAnsi="方正小标宋简体" w:eastAsia="方正小标宋简体" w:cs="方正小标宋简体"/>
          <w:sz w:val="44"/>
          <w:szCs w:val="44"/>
          <w:highlight w:val="none"/>
        </w:rPr>
        <w:t>网络运维信息表</w:t>
      </w:r>
    </w:p>
    <w:p>
      <w:pPr>
        <w:spacing w:line="70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w:t>
      </w:r>
      <w:r>
        <w:rPr>
          <w:rFonts w:hint="eastAsia" w:ascii="Times New Roman" w:hAnsi="Times New Roman" w:eastAsia="仿宋_GB2312" w:cs="Times New Roman"/>
          <w:color w:val="auto"/>
          <w:kern w:val="2"/>
          <w:sz w:val="32"/>
          <w:szCs w:val="32"/>
          <w:highlight w:val="none"/>
          <w:lang w:val="en-US" w:eastAsia="zh-CN" w:bidi="ar-SA"/>
        </w:rPr>
        <w:t>：XX局</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盖章</w:t>
      </w:r>
      <w:r>
        <w:rPr>
          <w:rFonts w:hint="eastAsia" w:ascii="仿宋" w:hAnsi="仿宋" w:eastAsia="仿宋" w:cs="仿宋"/>
          <w:sz w:val="32"/>
          <w:szCs w:val="32"/>
          <w:highlight w:val="none"/>
          <w:lang w:val="en-US" w:eastAsia="zh-CN"/>
        </w:rPr>
        <w:t>）</w:t>
      </w: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负责部门</w:t>
            </w:r>
          </w:p>
        </w:tc>
        <w:tc>
          <w:tcPr>
            <w:tcW w:w="6375" w:type="dxa"/>
            <w:gridSpan w:val="3"/>
          </w:tcPr>
          <w:p>
            <w:p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XX科室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负责人</w:t>
            </w:r>
          </w:p>
        </w:tc>
        <w:tc>
          <w:tcPr>
            <w:tcW w:w="2125" w:type="dxa"/>
          </w:tcPr>
          <w:p>
            <w:pPr>
              <w:jc w:val="center"/>
              <w:rPr>
                <w:rFonts w:hint="eastAsia" w:ascii="仿宋" w:hAnsi="仿宋" w:eastAsia="仿宋" w:cs="仿宋"/>
                <w:sz w:val="28"/>
                <w:szCs w:val="28"/>
                <w:highlight w:val="none"/>
              </w:rPr>
            </w:pPr>
          </w:p>
        </w:tc>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125" w:type="dxa"/>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网管员</w:t>
            </w:r>
            <w:r>
              <w:rPr>
                <w:rFonts w:hint="eastAsia" w:ascii="Times New Roman" w:hAnsi="Times New Roman" w:eastAsia="仿宋_GB2312" w:cs="Times New Roman"/>
                <w:color w:val="auto"/>
                <w:kern w:val="2"/>
                <w:sz w:val="28"/>
                <w:szCs w:val="28"/>
                <w:highlight w:val="none"/>
                <w:lang w:val="en-US" w:eastAsia="zh-CN" w:bidi="ar-SA"/>
              </w:rPr>
              <w:t>1</w:t>
            </w:r>
          </w:p>
        </w:tc>
        <w:tc>
          <w:tcPr>
            <w:tcW w:w="2125" w:type="dxa"/>
          </w:tcPr>
          <w:p>
            <w:pPr>
              <w:jc w:val="center"/>
              <w:rPr>
                <w:rFonts w:hint="eastAsia" w:ascii="仿宋" w:hAnsi="仿宋" w:eastAsia="仿宋" w:cs="仿宋"/>
                <w:sz w:val="28"/>
                <w:szCs w:val="28"/>
                <w:highlight w:val="none"/>
              </w:rPr>
            </w:pPr>
          </w:p>
        </w:tc>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125" w:type="dxa"/>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网管员</w:t>
            </w:r>
            <w:r>
              <w:rPr>
                <w:rFonts w:hint="eastAsia" w:ascii="Times New Roman" w:hAnsi="Times New Roman" w:eastAsia="仿宋_GB2312" w:cs="Times New Roman"/>
                <w:color w:val="auto"/>
                <w:kern w:val="2"/>
                <w:sz w:val="28"/>
                <w:szCs w:val="28"/>
                <w:highlight w:val="none"/>
                <w:lang w:val="en-US" w:eastAsia="zh-CN" w:bidi="ar-SA"/>
              </w:rPr>
              <w:t>2</w:t>
            </w:r>
          </w:p>
        </w:tc>
        <w:tc>
          <w:tcPr>
            <w:tcW w:w="2125" w:type="dxa"/>
          </w:tcPr>
          <w:p>
            <w:pPr>
              <w:jc w:val="center"/>
              <w:rPr>
                <w:rFonts w:hint="eastAsia" w:ascii="仿宋" w:hAnsi="仿宋" w:eastAsia="仿宋" w:cs="仿宋"/>
                <w:sz w:val="28"/>
                <w:szCs w:val="28"/>
                <w:highlight w:val="none"/>
              </w:rPr>
            </w:pPr>
          </w:p>
        </w:tc>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125" w:type="dxa"/>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网管员</w:t>
            </w:r>
            <w:r>
              <w:rPr>
                <w:rFonts w:hint="eastAsia" w:ascii="Times New Roman" w:hAnsi="Times New Roman" w:eastAsia="仿宋_GB2312" w:cs="Times New Roman"/>
                <w:color w:val="auto"/>
                <w:kern w:val="2"/>
                <w:sz w:val="28"/>
                <w:szCs w:val="28"/>
                <w:highlight w:val="none"/>
                <w:lang w:val="en-US" w:eastAsia="zh-CN" w:bidi="ar-SA"/>
              </w:rPr>
              <w:t>3</w:t>
            </w:r>
          </w:p>
        </w:tc>
        <w:tc>
          <w:tcPr>
            <w:tcW w:w="2125" w:type="dxa"/>
          </w:tcPr>
          <w:p>
            <w:pPr>
              <w:jc w:val="center"/>
              <w:rPr>
                <w:rFonts w:hint="eastAsia" w:ascii="仿宋" w:hAnsi="仿宋" w:eastAsia="仿宋" w:cs="仿宋"/>
                <w:sz w:val="28"/>
                <w:szCs w:val="28"/>
                <w:highlight w:val="none"/>
              </w:rPr>
            </w:pPr>
          </w:p>
        </w:tc>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125" w:type="dxa"/>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25" w:type="dxa"/>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c>
          <w:tcPr>
            <w:tcW w:w="6375" w:type="dxa"/>
            <w:gridSpan w:val="3"/>
          </w:tcPr>
          <w:p>
            <w:pPr>
              <w:jc w:val="center"/>
              <w:rPr>
                <w:rFonts w:hint="eastAsia" w:ascii="仿宋" w:hAnsi="仿宋" w:eastAsia="仿宋" w:cs="仿宋"/>
                <w:sz w:val="28"/>
                <w:szCs w:val="28"/>
                <w:highlight w:val="none"/>
              </w:rPr>
            </w:pPr>
          </w:p>
        </w:tc>
      </w:tr>
    </w:tbl>
    <w:p>
      <w:p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注：1.各单位至少填写一名网络管理员</w:t>
      </w:r>
      <w:r>
        <w:rPr>
          <w:rFonts w:hint="eastAsia" w:ascii="仿宋" w:hAnsi="仿宋" w:eastAsia="仿宋" w:cs="仿宋"/>
          <w:sz w:val="32"/>
          <w:szCs w:val="32"/>
          <w:highlight w:val="none"/>
          <w:lang w:eastAsia="zh-CN"/>
        </w:rPr>
        <w:t>。</w:t>
      </w:r>
    </w:p>
    <w:p>
      <w:pPr>
        <w:rPr>
          <w:rFonts w:hint="eastAsia" w:ascii="仿宋" w:hAnsi="仿宋" w:eastAsia="仿宋" w:cs="仿宋"/>
          <w:highlight w:val="none"/>
        </w:rPr>
      </w:pPr>
      <w:r>
        <w:rPr>
          <w:rFonts w:hint="eastAsia" w:ascii="仿宋" w:hAnsi="仿宋" w:eastAsia="仿宋" w:cs="仿宋"/>
          <w:sz w:val="32"/>
          <w:szCs w:val="32"/>
          <w:highlight w:val="none"/>
        </w:rPr>
        <w:t xml:space="preserve">    2.纸质版</w:t>
      </w:r>
      <w:r>
        <w:rPr>
          <w:rFonts w:hint="eastAsia" w:ascii="仿宋" w:hAnsi="仿宋" w:eastAsia="仿宋" w:cs="仿宋"/>
          <w:sz w:val="32"/>
          <w:szCs w:val="32"/>
          <w:highlight w:val="none"/>
          <w:lang w:eastAsia="zh-CN"/>
        </w:rPr>
        <w:t>盖章</w:t>
      </w:r>
      <w:r>
        <w:rPr>
          <w:rFonts w:hint="eastAsia" w:ascii="仿宋" w:hAnsi="仿宋" w:eastAsia="仿宋" w:cs="仿宋"/>
          <w:sz w:val="32"/>
          <w:szCs w:val="32"/>
          <w:highlight w:val="none"/>
        </w:rPr>
        <w:t>送至</w:t>
      </w:r>
      <w:r>
        <w:rPr>
          <w:rFonts w:hint="eastAsia" w:ascii="仿宋" w:hAnsi="仿宋" w:eastAsia="仿宋" w:cs="仿宋"/>
          <w:sz w:val="32"/>
          <w:szCs w:val="32"/>
          <w:highlight w:val="none"/>
          <w:lang w:eastAsia="zh-CN"/>
        </w:rPr>
        <w:t>市政务大厅三楼主</w:t>
      </w:r>
      <w:r>
        <w:rPr>
          <w:rFonts w:hint="eastAsia" w:ascii="Times New Roman" w:hAnsi="Times New Roman" w:eastAsia="仿宋_GB2312" w:cs="Times New Roman"/>
          <w:color w:val="auto"/>
          <w:kern w:val="2"/>
          <w:sz w:val="32"/>
          <w:szCs w:val="32"/>
          <w:highlight w:val="none"/>
          <w:lang w:val="en-US" w:eastAsia="zh-CN" w:bidi="ar-SA"/>
        </w:rPr>
        <w:t>楼311</w:t>
      </w:r>
      <w:r>
        <w:rPr>
          <w:rFonts w:hint="eastAsia" w:ascii="仿宋" w:hAnsi="仿宋" w:eastAsia="仿宋" w:cs="仿宋"/>
          <w:sz w:val="32"/>
          <w:szCs w:val="32"/>
          <w:highlight w:val="none"/>
          <w:lang w:val="en-US" w:eastAsia="zh-CN"/>
        </w:rPr>
        <w:t>办公室。</w:t>
      </w:r>
    </w:p>
    <w:p>
      <w:pPr>
        <w:widowControl w:val="0"/>
        <w:numPr>
          <w:ilvl w:val="0"/>
          <w:numId w:val="0"/>
        </w:numPr>
        <w:wordWrap/>
        <w:adjustRightInd/>
        <w:snapToGrid/>
        <w:ind w:firstLine="840" w:firstLineChars="300"/>
        <w:jc w:val="left"/>
        <w:textAlignment w:val="auto"/>
        <w:rPr>
          <w:rFonts w:hint="default" w:ascii="仿宋" w:hAnsi="仿宋" w:eastAsia="仿宋" w:cs="仿宋"/>
          <w:sz w:val="28"/>
          <w:szCs w:val="28"/>
          <w:highlight w:val="none"/>
          <w:lang w:val="en-US" w:eastAsia="zh-CN"/>
        </w:rPr>
        <w:sectPr>
          <w:pgSz w:w="11906" w:h="16838"/>
          <w:pgMar w:top="1984" w:right="1531" w:bottom="1984" w:left="1531" w:header="851" w:footer="992" w:gutter="0"/>
          <w:pgNumType w:fmt="numberInDash"/>
          <w:cols w:space="425" w:num="1"/>
          <w:docGrid w:type="lines" w:linePitch="312" w:charSpace="0"/>
        </w:sect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spacing w:val="-6"/>
          <w:sz w:val="32"/>
          <w:szCs w:val="32"/>
          <w:shd w:val="clear" w:color="auto" w:fill="auto"/>
          <w:lang w:val="en-US" w:eastAsia="zh-CN"/>
        </w:rPr>
      </w:pPr>
      <w:r>
        <w:rPr>
          <w:rFonts w:hint="eastAsia" w:ascii="黑体" w:hAnsi="黑体" w:eastAsia="黑体" w:cs="黑体"/>
          <w:spacing w:val="-6"/>
          <w:sz w:val="32"/>
          <w:szCs w:val="32"/>
          <w:shd w:val="clear" w:color="auto" w:fill="auto"/>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包头市电子政务外网业务申请单</w:t>
      </w:r>
    </w:p>
    <w:p>
      <w:pPr>
        <w:jc w:val="right"/>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 xml:space="preserve">   单号：202X00X000X</w:t>
      </w:r>
    </w:p>
    <w:tbl>
      <w:tblPr>
        <w:tblStyle w:val="12"/>
        <w:tblW w:w="9532" w:type="dxa"/>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63"/>
        <w:gridCol w:w="1418"/>
        <w:gridCol w:w="996"/>
        <w:gridCol w:w="1172"/>
        <w:gridCol w:w="527"/>
        <w:gridCol w:w="1015"/>
        <w:gridCol w:w="837"/>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业务申请单位基本信息</w:t>
            </w:r>
          </w:p>
        </w:tc>
        <w:tc>
          <w:tcPr>
            <w:tcW w:w="136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单位名称</w:t>
            </w:r>
          </w:p>
        </w:tc>
        <w:tc>
          <w:tcPr>
            <w:tcW w:w="7459" w:type="dxa"/>
            <w:gridSpan w:val="7"/>
            <w:vAlign w:val="center"/>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单位地址</w:t>
            </w:r>
          </w:p>
        </w:tc>
        <w:tc>
          <w:tcPr>
            <w:tcW w:w="7459" w:type="dxa"/>
            <w:gridSpan w:val="7"/>
            <w:vAlign w:val="center"/>
          </w:tcPr>
          <w:p>
            <w:pPr>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主管科室或单位</w:t>
            </w:r>
          </w:p>
        </w:tc>
        <w:tc>
          <w:tcPr>
            <w:tcW w:w="1418" w:type="dxa"/>
            <w:vAlign w:val="center"/>
          </w:tcPr>
          <w:p>
            <w:pPr>
              <w:jc w:val="center"/>
              <w:rPr>
                <w:rFonts w:hint="default" w:ascii="宋体" w:hAnsi="宋体" w:eastAsia="宋体" w:cs="宋体"/>
                <w:sz w:val="24"/>
                <w:szCs w:val="24"/>
                <w:highlight w:val="none"/>
                <w:vertAlign w:val="baseline"/>
                <w:lang w:val="en-US" w:eastAsia="zh-CN"/>
              </w:rPr>
            </w:pPr>
          </w:p>
        </w:tc>
        <w:tc>
          <w:tcPr>
            <w:tcW w:w="996"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负责人</w:t>
            </w:r>
          </w:p>
        </w:tc>
        <w:tc>
          <w:tcPr>
            <w:tcW w:w="1172" w:type="dxa"/>
            <w:vAlign w:val="center"/>
          </w:tcPr>
          <w:p>
            <w:pPr>
              <w:jc w:val="center"/>
              <w:rPr>
                <w:rFonts w:hint="default" w:ascii="宋体" w:hAnsi="宋体" w:eastAsia="宋体" w:cs="宋体"/>
                <w:sz w:val="24"/>
                <w:szCs w:val="24"/>
                <w:highlight w:val="none"/>
                <w:vertAlign w:val="baseline"/>
                <w:lang w:val="en-US" w:eastAsia="zh-CN"/>
              </w:rPr>
            </w:pPr>
          </w:p>
        </w:tc>
        <w:tc>
          <w:tcPr>
            <w:tcW w:w="5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职务</w:t>
            </w:r>
          </w:p>
        </w:tc>
        <w:tc>
          <w:tcPr>
            <w:tcW w:w="1015" w:type="dxa"/>
            <w:vAlign w:val="center"/>
          </w:tcPr>
          <w:p>
            <w:pPr>
              <w:jc w:val="center"/>
              <w:rPr>
                <w:rFonts w:hint="default" w:ascii="宋体" w:hAnsi="宋体" w:eastAsia="宋体" w:cs="宋体"/>
                <w:sz w:val="24"/>
                <w:szCs w:val="24"/>
                <w:highlight w:val="none"/>
                <w:vertAlign w:val="baseline"/>
                <w:lang w:val="en-US" w:eastAsia="zh-CN"/>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联系方式</w:t>
            </w:r>
          </w:p>
        </w:tc>
        <w:tc>
          <w:tcPr>
            <w:tcW w:w="1494" w:type="dxa"/>
            <w:vAlign w:val="center"/>
          </w:tcPr>
          <w:p>
            <w:pPr>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运维或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技术部门</w:t>
            </w:r>
          </w:p>
        </w:tc>
        <w:tc>
          <w:tcPr>
            <w:tcW w:w="1418" w:type="dxa"/>
            <w:vAlign w:val="center"/>
          </w:tcPr>
          <w:p>
            <w:pPr>
              <w:jc w:val="center"/>
              <w:rPr>
                <w:rFonts w:hint="default" w:ascii="宋体" w:hAnsi="宋体" w:eastAsia="宋体" w:cs="宋体"/>
                <w:sz w:val="24"/>
                <w:szCs w:val="24"/>
                <w:highlight w:val="none"/>
                <w:vertAlign w:val="baseline"/>
                <w:lang w:val="en-US" w:eastAsia="zh-CN"/>
              </w:rPr>
            </w:pPr>
          </w:p>
        </w:tc>
        <w:tc>
          <w:tcPr>
            <w:tcW w:w="996"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负责人</w:t>
            </w:r>
          </w:p>
        </w:tc>
        <w:tc>
          <w:tcPr>
            <w:tcW w:w="1172" w:type="dxa"/>
            <w:vAlign w:val="center"/>
          </w:tcPr>
          <w:p>
            <w:pPr>
              <w:jc w:val="center"/>
              <w:rPr>
                <w:rFonts w:hint="eastAsia" w:ascii="宋体" w:hAnsi="宋体" w:eastAsia="宋体" w:cs="宋体"/>
                <w:sz w:val="24"/>
                <w:szCs w:val="24"/>
                <w:highlight w:val="none"/>
                <w:vertAlign w:val="baseline"/>
                <w:lang w:val="en-US" w:eastAsia="zh-CN"/>
              </w:rPr>
            </w:pPr>
          </w:p>
        </w:tc>
        <w:tc>
          <w:tcPr>
            <w:tcW w:w="5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职务</w:t>
            </w:r>
          </w:p>
        </w:tc>
        <w:tc>
          <w:tcPr>
            <w:tcW w:w="1015" w:type="dxa"/>
            <w:vAlign w:val="center"/>
          </w:tcPr>
          <w:p>
            <w:pPr>
              <w:jc w:val="center"/>
              <w:rPr>
                <w:rFonts w:hint="eastAsia" w:ascii="宋体" w:hAnsi="宋体" w:eastAsia="宋体" w:cs="宋体"/>
                <w:sz w:val="24"/>
                <w:szCs w:val="24"/>
                <w:highlight w:val="none"/>
                <w:vertAlign w:val="baseline"/>
                <w:lang w:val="en-US" w:eastAsia="zh-CN"/>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联系方式</w:t>
            </w:r>
          </w:p>
        </w:tc>
        <w:tc>
          <w:tcPr>
            <w:tcW w:w="1494" w:type="dxa"/>
            <w:vAlign w:val="center"/>
          </w:tcPr>
          <w:p>
            <w:pPr>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申请事项（实际需求填写）</w:t>
            </w:r>
          </w:p>
        </w:tc>
        <w:tc>
          <w:tcPr>
            <w:tcW w:w="136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申请原因</w:t>
            </w:r>
          </w:p>
        </w:tc>
        <w:tc>
          <w:tcPr>
            <w:tcW w:w="7459" w:type="dxa"/>
            <w:gridSpan w:val="7"/>
          </w:tcPr>
          <w:p>
            <w:pPr>
              <w:bidi w:val="0"/>
              <w:jc w:val="left"/>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网络映射</w:t>
            </w:r>
          </w:p>
        </w:tc>
        <w:tc>
          <w:tcPr>
            <w:tcW w:w="7459" w:type="dxa"/>
            <w:gridSpan w:val="7"/>
            <w:vAlign w:val="top"/>
          </w:tcPr>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网内IP：       网内端口：</w:t>
            </w:r>
          </w:p>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网外IP：       网外端口：         协议类型：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端口开通</w:t>
            </w:r>
          </w:p>
        </w:tc>
        <w:tc>
          <w:tcPr>
            <w:tcW w:w="7459" w:type="dxa"/>
            <w:gridSpan w:val="7"/>
            <w:vAlign w:val="top"/>
          </w:tcPr>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源地址：        源端口：</w:t>
            </w:r>
          </w:p>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目的地址：      目的端口：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免认证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开通</w:t>
            </w:r>
          </w:p>
        </w:tc>
        <w:tc>
          <w:tcPr>
            <w:tcW w:w="7459" w:type="dxa"/>
            <w:gridSpan w:val="7"/>
            <w:vAlign w:val="top"/>
          </w:tcPr>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IP段申请或扩容</w:t>
            </w:r>
          </w:p>
        </w:tc>
        <w:tc>
          <w:tcPr>
            <w:tcW w:w="7459" w:type="dxa"/>
            <w:gridSpan w:val="7"/>
            <w:vAlign w:val="top"/>
          </w:tcPr>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（申请或扩容地址）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政务外网接入</w:t>
            </w:r>
          </w:p>
        </w:tc>
        <w:tc>
          <w:tcPr>
            <w:tcW w:w="7459" w:type="dxa"/>
            <w:gridSpan w:val="7"/>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使用运营商：</w:t>
            </w:r>
          </w:p>
          <w:p>
            <w:p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付费类型：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0" w:type="dxa"/>
            <w:vMerge w:val="continue"/>
            <w:vAlign w:val="center"/>
          </w:tcPr>
          <w:p>
            <w:pPr>
              <w:jc w:val="center"/>
              <w:rPr>
                <w:rFonts w:hint="eastAsia" w:ascii="宋体" w:hAnsi="宋体" w:eastAsia="宋体" w:cs="宋体"/>
                <w:sz w:val="24"/>
                <w:szCs w:val="24"/>
                <w:highlight w:val="none"/>
                <w:vertAlign w:val="baseline"/>
                <w:lang w:val="en-US" w:eastAsia="zh-CN"/>
              </w:rPr>
            </w:pPr>
          </w:p>
        </w:tc>
        <w:tc>
          <w:tcPr>
            <w:tcW w:w="136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其他</w:t>
            </w:r>
          </w:p>
        </w:tc>
        <w:tc>
          <w:tcPr>
            <w:tcW w:w="7459" w:type="dxa"/>
            <w:gridSpan w:val="7"/>
            <w:vAlign w:val="top"/>
          </w:tcPr>
          <w:p>
            <w:pPr>
              <w:jc w:val="both"/>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申请单位意见</w:t>
            </w:r>
          </w:p>
        </w:tc>
        <w:tc>
          <w:tcPr>
            <w:tcW w:w="8822" w:type="dxa"/>
            <w:gridSpan w:val="8"/>
            <w:vAlign w:val="bottom"/>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负责人签字：            盖（公）章</w:t>
            </w:r>
          </w:p>
          <w:p>
            <w:pPr>
              <w:jc w:val="righ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管理单位意见</w:t>
            </w:r>
          </w:p>
        </w:tc>
        <w:tc>
          <w:tcPr>
            <w:tcW w:w="8822" w:type="dxa"/>
            <w:gridSpan w:val="8"/>
            <w:vAlign w:val="bottom"/>
          </w:tcPr>
          <w:p>
            <w:pPr>
              <w:ind w:firstLine="3360" w:firstLineChars="140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负责人签字：            </w:t>
            </w:r>
          </w:p>
          <w:p>
            <w:pPr>
              <w:jc w:val="righ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9" w:hRule="atLeast"/>
        </w:trPr>
        <w:tc>
          <w:tcPr>
            <w:tcW w:w="71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事</w:t>
            </w: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w:t>
            </w: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告</w:t>
            </w: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知</w:t>
            </w:r>
          </w:p>
        </w:tc>
        <w:tc>
          <w:tcPr>
            <w:tcW w:w="8822" w:type="dxa"/>
            <w:gridSpan w:val="8"/>
            <w:vAlign w:val="top"/>
          </w:tcPr>
          <w:p>
            <w:p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一、注意事项</w:t>
            </w:r>
          </w:p>
          <w:p>
            <w:pPr>
              <w:numPr>
                <w:ilvl w:val="0"/>
                <w:numId w:val="1"/>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任何涉密信息均不得在</w:t>
            </w:r>
            <w:r>
              <w:rPr>
                <w:rFonts w:hint="eastAsia" w:ascii="宋体" w:hAnsi="宋体" w:eastAsia="宋体" w:cs="宋体"/>
                <w:color w:val="auto"/>
                <w:sz w:val="24"/>
                <w:szCs w:val="24"/>
                <w:highlight w:val="none"/>
                <w:vertAlign w:val="baseline"/>
                <w:lang w:val="en-US" w:eastAsia="zh-CN"/>
              </w:rPr>
              <w:t>包头市</w:t>
            </w:r>
            <w:r>
              <w:rPr>
                <w:rFonts w:hint="default" w:ascii="宋体" w:hAnsi="宋体" w:eastAsia="宋体" w:cs="宋体"/>
                <w:color w:val="auto"/>
                <w:sz w:val="24"/>
                <w:szCs w:val="24"/>
                <w:highlight w:val="none"/>
                <w:vertAlign w:val="baseline"/>
                <w:lang w:val="en-US" w:eastAsia="zh-CN"/>
              </w:rPr>
              <w:t>电子政务外网内流转及储存。</w:t>
            </w:r>
          </w:p>
          <w:p>
            <w:pPr>
              <w:numPr>
                <w:ilvl w:val="0"/>
                <w:numId w:val="1"/>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本级</w:t>
            </w:r>
            <w:r>
              <w:rPr>
                <w:rFonts w:hint="default" w:ascii="宋体" w:hAnsi="宋体" w:eastAsia="宋体" w:cs="宋体"/>
                <w:color w:val="auto"/>
                <w:sz w:val="24"/>
                <w:szCs w:val="24"/>
                <w:highlight w:val="none"/>
                <w:vertAlign w:val="baseline"/>
                <w:lang w:val="en-US" w:eastAsia="zh-CN"/>
              </w:rPr>
              <w:t>各政务部门提交</w:t>
            </w:r>
            <w:r>
              <w:rPr>
                <w:rFonts w:hint="eastAsia" w:ascii="宋体" w:hAnsi="宋体" w:eastAsia="宋体" w:cs="宋体"/>
                <w:color w:val="auto"/>
                <w:sz w:val="24"/>
                <w:szCs w:val="24"/>
                <w:highlight w:val="none"/>
                <w:vertAlign w:val="baseline"/>
                <w:lang w:val="en-US" w:eastAsia="zh-CN"/>
              </w:rPr>
              <w:t>业务</w:t>
            </w:r>
            <w:r>
              <w:rPr>
                <w:rFonts w:hint="default" w:ascii="宋体" w:hAnsi="宋体" w:eastAsia="宋体" w:cs="宋体"/>
                <w:color w:val="auto"/>
                <w:sz w:val="24"/>
                <w:szCs w:val="24"/>
                <w:highlight w:val="none"/>
                <w:vertAlign w:val="baseline"/>
                <w:lang w:val="en-US" w:eastAsia="zh-CN"/>
              </w:rPr>
              <w:t>申请单的同时，需向</w:t>
            </w:r>
            <w:r>
              <w:rPr>
                <w:rFonts w:hint="eastAsia" w:ascii="宋体" w:hAnsi="宋体" w:eastAsia="宋体" w:cs="宋体"/>
                <w:color w:val="auto"/>
                <w:sz w:val="24"/>
                <w:szCs w:val="24"/>
                <w:highlight w:val="none"/>
                <w:vertAlign w:val="baseline"/>
                <w:lang w:val="en-US" w:eastAsia="zh-CN"/>
              </w:rPr>
              <w:t>包头市行政审批政务服务与数据管理局</w:t>
            </w:r>
            <w:r>
              <w:rPr>
                <w:rFonts w:hint="default" w:ascii="宋体" w:hAnsi="宋体" w:eastAsia="宋体" w:cs="宋体"/>
                <w:color w:val="auto"/>
                <w:sz w:val="24"/>
                <w:szCs w:val="24"/>
                <w:highlight w:val="none"/>
                <w:vertAlign w:val="baseline"/>
                <w:lang w:val="en-US" w:eastAsia="zh-CN"/>
              </w:rPr>
              <w:t>提交正式公函。</w:t>
            </w:r>
          </w:p>
          <w:p>
            <w:pPr>
              <w:numPr>
                <w:ilvl w:val="0"/>
                <w:numId w:val="1"/>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申请单位请仔细阅读“责任区分”，确认无异议后在申请单位意见栏签字盖章。</w:t>
            </w:r>
          </w:p>
          <w:p>
            <w:pPr>
              <w:numPr>
                <w:ilvl w:val="0"/>
                <w:numId w:val="1"/>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接入单位出现网络安全问题，影响政务外网正常运行的，政务外网运行管理部门有权中断其政务外网连接。</w:t>
            </w:r>
          </w:p>
          <w:p>
            <w:pPr>
              <w:jc w:val="both"/>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二、责任区分</w:t>
            </w:r>
          </w:p>
          <w:p>
            <w:pPr>
              <w:jc w:val="both"/>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（一）</w:t>
            </w:r>
            <w:r>
              <w:rPr>
                <w:rFonts w:hint="default" w:ascii="宋体" w:hAnsi="宋体" w:eastAsia="宋体" w:cs="宋体"/>
                <w:color w:val="auto"/>
                <w:sz w:val="24"/>
                <w:szCs w:val="24"/>
                <w:highlight w:val="none"/>
                <w:vertAlign w:val="baseline"/>
                <w:lang w:val="en-US" w:eastAsia="zh-CN"/>
              </w:rPr>
              <w:t>用户单位</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负责本部门</w:t>
            </w:r>
            <w:r>
              <w:rPr>
                <w:rFonts w:hint="eastAsia" w:ascii="宋体" w:hAnsi="宋体" w:eastAsia="宋体" w:cs="宋体"/>
                <w:color w:val="auto"/>
                <w:sz w:val="24"/>
                <w:szCs w:val="24"/>
                <w:highlight w:val="none"/>
                <w:vertAlign w:val="baseline"/>
                <w:lang w:val="en-US" w:eastAsia="zh-CN"/>
              </w:rPr>
              <w:t>特定</w:t>
            </w:r>
            <w:r>
              <w:rPr>
                <w:rFonts w:hint="default" w:ascii="宋体" w:hAnsi="宋体" w:eastAsia="宋体" w:cs="宋体"/>
                <w:color w:val="auto"/>
                <w:sz w:val="24"/>
                <w:szCs w:val="24"/>
                <w:highlight w:val="none"/>
                <w:vertAlign w:val="baseline"/>
                <w:lang w:val="en-US" w:eastAsia="zh-CN"/>
              </w:rPr>
              <w:t>业务</w:t>
            </w:r>
            <w:r>
              <w:rPr>
                <w:rFonts w:hint="eastAsia" w:ascii="宋体" w:hAnsi="宋体" w:eastAsia="宋体" w:cs="宋体"/>
                <w:color w:val="auto"/>
                <w:sz w:val="24"/>
                <w:szCs w:val="24"/>
                <w:highlight w:val="none"/>
                <w:vertAlign w:val="baseline"/>
                <w:lang w:val="en-US" w:eastAsia="zh-CN"/>
              </w:rPr>
              <w:t>需求端口</w:t>
            </w:r>
            <w:r>
              <w:rPr>
                <w:rFonts w:hint="default" w:ascii="宋体" w:hAnsi="宋体" w:eastAsia="宋体" w:cs="宋体"/>
                <w:color w:val="auto"/>
                <w:sz w:val="24"/>
                <w:szCs w:val="24"/>
                <w:highlight w:val="none"/>
                <w:vertAlign w:val="baseline"/>
                <w:lang w:val="en-US" w:eastAsia="zh-CN"/>
              </w:rPr>
              <w:t>备案工作。</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负责本部门使用的物理服务器或虚拟机操作系统、数据库、中间件等软件的购置、安装、管理、维护、补丁更新及升级。</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负责本部门使用服务器安装的应用程序安全。</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负责本部门托管设备的管理、维护与安全。</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配合</w:t>
            </w:r>
            <w:r>
              <w:rPr>
                <w:rFonts w:hint="eastAsia" w:ascii="宋体" w:hAnsi="宋体" w:cs="宋体"/>
                <w:color w:val="auto"/>
                <w:sz w:val="24"/>
                <w:szCs w:val="24"/>
                <w:highlight w:val="none"/>
                <w:vertAlign w:val="baseline"/>
                <w:lang w:val="en-US" w:eastAsia="zh-CN"/>
              </w:rPr>
              <w:t>包头市</w:t>
            </w:r>
            <w:r>
              <w:rPr>
                <w:rFonts w:hint="eastAsia" w:ascii="宋体" w:hAnsi="宋体" w:eastAsia="宋体" w:cs="宋体"/>
                <w:color w:val="auto"/>
                <w:sz w:val="24"/>
                <w:szCs w:val="24"/>
                <w:highlight w:val="none"/>
                <w:vertAlign w:val="baseline"/>
                <w:lang w:val="en-US" w:eastAsia="zh-CN"/>
              </w:rPr>
              <w:t>行政审批政务服务与数据管理局</w:t>
            </w:r>
            <w:r>
              <w:rPr>
                <w:rFonts w:hint="default" w:ascii="宋体" w:hAnsi="宋体" w:eastAsia="宋体" w:cs="宋体"/>
                <w:color w:val="auto"/>
                <w:sz w:val="24"/>
                <w:szCs w:val="24"/>
                <w:highlight w:val="none"/>
                <w:vertAlign w:val="baseline"/>
                <w:lang w:val="en-US" w:eastAsia="zh-CN"/>
              </w:rPr>
              <w:t>完成本部门应用系统及数据的相关处置工作。</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负责本部门业务应用系统及数据的备份以及备份有效性验证。</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管理本部门所有设备操作系统及相关设备表的密码。</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负责本单位所使用服务器内部信息系统和数据的完整、使用及管理。</w:t>
            </w:r>
          </w:p>
          <w:p>
            <w:pPr>
              <w:numPr>
                <w:ilvl w:val="0"/>
                <w:numId w:val="2"/>
              </w:numPr>
              <w:ind w:left="425" w:leftChars="0" w:hanging="425"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本单位内部人员随意改动IP地址造成冲突或错误接线形成环路，导致无法上网等一切后果由本单位自行负责。</w:t>
            </w:r>
          </w:p>
          <w:p>
            <w:pPr>
              <w:numPr>
                <w:ilvl w:val="0"/>
                <w:numId w:val="2"/>
              </w:numPr>
              <w:ind w:left="425" w:leftChars="0" w:hanging="425"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用户单位应具有网络设施管理、机房环境监控等基本功能的网络管理系统，建立日常值班、机房管理、应急保障等工作制度，定期对运行环境、链路、系统和设备进行监测和分析。</w:t>
            </w:r>
          </w:p>
          <w:p>
            <w:pPr>
              <w:numPr>
                <w:ilvl w:val="0"/>
                <w:numId w:val="2"/>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用户单位</w:t>
            </w:r>
            <w:r>
              <w:rPr>
                <w:rFonts w:hint="default" w:ascii="宋体" w:hAnsi="宋体" w:eastAsia="宋体" w:cs="宋体"/>
                <w:color w:val="auto"/>
                <w:sz w:val="24"/>
                <w:szCs w:val="24"/>
                <w:highlight w:val="none"/>
                <w:vertAlign w:val="baseline"/>
                <w:lang w:val="en-US" w:eastAsia="zh-CN"/>
              </w:rPr>
              <w:t>对本单位接入政务外网的终端设备及具体 IP 地址进行管理。</w:t>
            </w:r>
          </w:p>
          <w:p>
            <w:pPr>
              <w:jc w:val="both"/>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（二）</w:t>
            </w:r>
            <w:r>
              <w:rPr>
                <w:rFonts w:hint="eastAsia" w:ascii="宋体" w:hAnsi="宋体" w:eastAsia="宋体" w:cs="宋体"/>
                <w:color w:val="auto"/>
                <w:sz w:val="24"/>
                <w:szCs w:val="24"/>
                <w:highlight w:val="none"/>
                <w:vertAlign w:val="baseline"/>
                <w:lang w:val="en-US" w:eastAsia="zh-CN"/>
              </w:rPr>
              <w:t>包头市行政审批政务服务与数据管理局</w:t>
            </w:r>
          </w:p>
          <w:p>
            <w:pPr>
              <w:numPr>
                <w:ilvl w:val="0"/>
                <w:numId w:val="3"/>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w:t>
            </w:r>
            <w:r>
              <w:rPr>
                <w:rFonts w:hint="eastAsia" w:ascii="宋体" w:hAnsi="宋体" w:eastAsia="宋体" w:cs="宋体"/>
                <w:color w:val="auto"/>
                <w:sz w:val="24"/>
                <w:szCs w:val="24"/>
                <w:highlight w:val="none"/>
                <w:vertAlign w:val="baseline"/>
                <w:lang w:val="en-US" w:eastAsia="zh-CN"/>
              </w:rPr>
              <w:t>包头市</w:t>
            </w:r>
            <w:r>
              <w:rPr>
                <w:rFonts w:hint="default" w:ascii="宋体" w:hAnsi="宋体" w:eastAsia="宋体" w:cs="宋体"/>
                <w:color w:val="auto"/>
                <w:sz w:val="24"/>
                <w:szCs w:val="24"/>
                <w:highlight w:val="none"/>
                <w:vertAlign w:val="baseline"/>
                <w:lang w:val="en-US" w:eastAsia="zh-CN"/>
              </w:rPr>
              <w:t>电子政务外网管理与维护。</w:t>
            </w:r>
          </w:p>
          <w:p>
            <w:pPr>
              <w:numPr>
                <w:ilvl w:val="0"/>
                <w:numId w:val="3"/>
              </w:numPr>
              <w:ind w:left="425" w:leftChars="0" w:hanging="425" w:firstLineChars="0"/>
              <w:jc w:val="both"/>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负责对电子政务外网网络运行情况进行监控，并有权根据情况进行处置。</w:t>
            </w:r>
          </w:p>
          <w:p>
            <w:pPr>
              <w:numPr>
                <w:ilvl w:val="0"/>
                <w:numId w:val="3"/>
              </w:numPr>
              <w:ind w:left="425" w:leftChars="0" w:hanging="425" w:firstLineChars="0"/>
              <w:jc w:val="both"/>
              <w:rPr>
                <w:rFonts w:hint="eastAsia"/>
                <w:highlight w:val="none"/>
                <w:lang w:val="en-US" w:eastAsia="zh-CN"/>
              </w:rPr>
            </w:pPr>
            <w:r>
              <w:rPr>
                <w:rFonts w:hint="default" w:ascii="宋体" w:hAnsi="宋体" w:eastAsia="宋体" w:cs="宋体"/>
                <w:color w:val="auto"/>
                <w:sz w:val="24"/>
                <w:szCs w:val="24"/>
                <w:highlight w:val="none"/>
                <w:vertAlign w:val="baseline"/>
                <w:lang w:val="en-US" w:eastAsia="zh-CN"/>
              </w:rPr>
              <w:t>对于因不可抗力或不能控制的原因造成的</w:t>
            </w:r>
            <w:r>
              <w:rPr>
                <w:rFonts w:hint="eastAsia" w:ascii="宋体" w:hAnsi="宋体" w:eastAsia="宋体" w:cs="宋体"/>
                <w:color w:val="auto"/>
                <w:sz w:val="24"/>
                <w:szCs w:val="24"/>
                <w:highlight w:val="none"/>
                <w:vertAlign w:val="baseline"/>
                <w:lang w:val="en-US" w:eastAsia="zh-CN"/>
              </w:rPr>
              <w:t>电子政务外网</w:t>
            </w:r>
            <w:r>
              <w:rPr>
                <w:rFonts w:hint="default" w:ascii="宋体" w:hAnsi="宋体" w:eastAsia="宋体" w:cs="宋体"/>
                <w:color w:val="auto"/>
                <w:sz w:val="24"/>
                <w:szCs w:val="24"/>
                <w:highlight w:val="none"/>
                <w:vertAlign w:val="baseline"/>
                <w:lang w:val="en-US" w:eastAsia="zh-CN"/>
              </w:rPr>
              <w:t>中断或其它缺陷，</w:t>
            </w:r>
            <w:r>
              <w:rPr>
                <w:rFonts w:hint="eastAsia" w:ascii="宋体" w:hAnsi="宋体" w:cs="宋体"/>
                <w:color w:val="auto"/>
                <w:sz w:val="24"/>
                <w:szCs w:val="24"/>
                <w:highlight w:val="none"/>
                <w:vertAlign w:val="baseline"/>
                <w:lang w:val="en-US" w:eastAsia="zh-CN"/>
              </w:rPr>
              <w:t>包头市</w:t>
            </w:r>
            <w:r>
              <w:rPr>
                <w:rFonts w:hint="eastAsia" w:ascii="宋体" w:hAnsi="宋体" w:eastAsia="宋体" w:cs="宋体"/>
                <w:color w:val="auto"/>
                <w:sz w:val="24"/>
                <w:szCs w:val="24"/>
                <w:highlight w:val="none"/>
                <w:vertAlign w:val="baseline"/>
                <w:lang w:val="en-US" w:eastAsia="zh-CN"/>
              </w:rPr>
              <w:t>行政审批政务服务与数据管理局</w:t>
            </w:r>
            <w:r>
              <w:rPr>
                <w:rFonts w:hint="default" w:ascii="宋体" w:hAnsi="宋体" w:eastAsia="宋体" w:cs="宋体"/>
                <w:color w:val="auto"/>
                <w:sz w:val="24"/>
                <w:szCs w:val="24"/>
                <w:highlight w:val="none"/>
                <w:vertAlign w:val="baseline"/>
                <w:lang w:val="en-US" w:eastAsia="zh-CN"/>
              </w:rPr>
              <w:t>不承担任何责任，但将尽力减少因此而给用户造成的损失和影响。</w:t>
            </w:r>
          </w:p>
          <w:p>
            <w:pPr>
              <w:numPr>
                <w:ilvl w:val="0"/>
                <w:numId w:val="0"/>
              </w:numPr>
              <w:ind w:leftChars="0"/>
              <w:jc w:val="both"/>
              <w:rPr>
                <w:rFonts w:hint="eastAsia"/>
                <w:highlight w:val="none"/>
                <w:lang w:val="en-US" w:eastAsia="zh-CN"/>
              </w:rPr>
            </w:pPr>
            <w:r>
              <w:rPr>
                <w:rFonts w:hint="eastAsia" w:ascii="宋体" w:hAnsi="宋体" w:eastAsia="宋体" w:cs="宋体"/>
                <w:color w:val="auto"/>
                <w:sz w:val="24"/>
                <w:szCs w:val="24"/>
                <w:highlight w:val="none"/>
                <w:vertAlign w:val="baseline"/>
                <w:lang w:val="en-US" w:eastAsia="zh-CN"/>
              </w:rPr>
              <w:t>三、具体注意事项及责任划分应以《</w:t>
            </w:r>
            <w:r>
              <w:rPr>
                <w:rFonts w:hint="eastAsia" w:ascii="宋体" w:hAnsi="宋体" w:eastAsia="宋体" w:cs="宋体"/>
                <w:b w:val="0"/>
                <w:color w:val="auto"/>
                <w:kern w:val="2"/>
                <w:sz w:val="24"/>
                <w:szCs w:val="24"/>
                <w:highlight w:val="none"/>
                <w:vertAlign w:val="baseline"/>
                <w:lang w:val="en-US" w:eastAsia="zh-CN" w:bidi="ar-SA"/>
              </w:rPr>
              <w:t>包头市电子政务外网使用与管理</w:t>
            </w:r>
            <w:r>
              <w:rPr>
                <w:rFonts w:hint="eastAsia" w:ascii="宋体" w:hAnsi="宋体" w:cs="宋体"/>
                <w:b w:val="0"/>
                <w:color w:val="auto"/>
                <w:kern w:val="2"/>
                <w:sz w:val="24"/>
                <w:szCs w:val="24"/>
                <w:highlight w:val="none"/>
                <w:vertAlign w:val="baseline"/>
                <w:lang w:val="en-US" w:eastAsia="zh-CN" w:bidi="ar-SA"/>
              </w:rPr>
              <w:t>办法</w:t>
            </w:r>
            <w:r>
              <w:rPr>
                <w:rFonts w:hint="eastAsia" w:ascii="宋体" w:hAnsi="宋体" w:eastAsia="宋体" w:cs="宋体"/>
                <w:color w:val="auto"/>
                <w:sz w:val="24"/>
                <w:szCs w:val="24"/>
                <w:highlight w:val="none"/>
                <w:vertAlign w:val="baseline"/>
                <w:lang w:val="en-US" w:eastAsia="zh-CN"/>
              </w:rPr>
              <w:t>》为准。</w:t>
            </w:r>
          </w:p>
          <w:p>
            <w:pPr>
              <w:jc w:val="both"/>
              <w:rPr>
                <w:rFonts w:hint="eastAsia" w:ascii="宋体" w:hAnsi="宋体" w:eastAsia="宋体" w:cs="宋体"/>
                <w:sz w:val="24"/>
                <w:szCs w:val="24"/>
                <w:highlight w:val="none"/>
                <w:vertAlign w:val="baseline"/>
                <w:lang w:val="en-US" w:eastAsia="zh-CN"/>
              </w:rPr>
            </w:pPr>
          </w:p>
        </w:tc>
      </w:tr>
    </w:tbl>
    <w:p>
      <w:pPr>
        <w:widowControl/>
        <w:numPr>
          <w:ilvl w:val="0"/>
          <w:numId w:val="0"/>
        </w:numPr>
        <w:spacing w:line="240" w:lineRule="auto"/>
        <w:ind w:left="0" w:leftChars="0" w:firstLine="0" w:firstLineChars="0"/>
        <w:jc w:val="left"/>
        <w:rPr>
          <w:rFonts w:hint="eastAsia" w:ascii="黑体" w:hAnsi="黑体" w:eastAsia="黑体" w:cs="黑体"/>
          <w:sz w:val="32"/>
          <w:szCs w:val="32"/>
          <w:highlight w:val="none"/>
          <w:lang w:val="en-US" w:eastAsia="zh-CN"/>
        </w:rPr>
        <w:sectPr>
          <w:pgSz w:w="11906" w:h="16838"/>
          <w:pgMar w:top="1984" w:right="1531" w:bottom="1984" w:left="1531" w:header="851" w:footer="992" w:gutter="0"/>
          <w:pgNumType w:fmt="numberInDash"/>
          <w:cols w:space="720" w:num="1"/>
          <w:docGrid w:type="lines" w:linePitch="312" w:charSpace="0"/>
        </w:sect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pacing w:val="-6"/>
          <w:sz w:val="32"/>
          <w:szCs w:val="32"/>
          <w:shd w:val="clear" w:color="auto" w:fill="auto"/>
          <w:lang w:val="en-US" w:eastAsia="zh-CN"/>
        </w:rPr>
      </w:pPr>
      <w:r>
        <w:rPr>
          <w:rFonts w:hint="eastAsia" w:ascii="黑体" w:hAnsi="黑体" w:eastAsia="黑体" w:cs="黑体"/>
          <w:spacing w:val="-6"/>
          <w:sz w:val="32"/>
          <w:szCs w:val="32"/>
          <w:shd w:val="clear" w:color="auto" w:fill="auto"/>
          <w:lang w:val="en-US" w:eastAsia="zh-CN"/>
        </w:rPr>
        <w:t>附件5</w:t>
      </w:r>
    </w:p>
    <w:p>
      <w:pPr>
        <w:rPr>
          <w:rFonts w:hint="eastAsia"/>
          <w:lang w:val="en-US" w:eastAsia="zh-CN"/>
        </w:rPr>
      </w:pPr>
      <w:r>
        <w:rPr>
          <w:rFonts w:hint="eastAsia"/>
          <w:lang w:val="en-US" w:eastAsia="zh-CN"/>
        </w:rPr>
        <w:drawing>
          <wp:inline distT="0" distB="0" distL="114300" distR="114300">
            <wp:extent cx="8859520" cy="4759960"/>
            <wp:effectExtent l="0" t="0" r="17780" b="2540"/>
            <wp:docPr id="4" name="图片 4" descr="附件5截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附件5截图"/>
                    <pic:cNvPicPr>
                      <a:picLocks noChangeAspect="true"/>
                    </pic:cNvPicPr>
                  </pic:nvPicPr>
                  <pic:blipFill>
                    <a:blip r:embed="rId5"/>
                    <a:stretch>
                      <a:fillRect/>
                    </a:stretch>
                  </pic:blipFill>
                  <pic:spPr>
                    <a:xfrm>
                      <a:off x="0" y="0"/>
                      <a:ext cx="8859520" cy="4759960"/>
                    </a:xfrm>
                    <a:prstGeom prst="rect">
                      <a:avLst/>
                    </a:prstGeom>
                  </pic:spPr>
                </pic:pic>
              </a:graphicData>
            </a:graphic>
          </wp:inline>
        </w:drawing>
      </w:r>
    </w:p>
    <w:p>
      <w:pPr>
        <w:rPr>
          <w:rFonts w:hint="eastAsia"/>
          <w:lang w:val="en-US" w:eastAsia="zh-CN"/>
        </w:rPr>
        <w:sectPr>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pacing w:val="-6"/>
          <w:sz w:val="32"/>
          <w:szCs w:val="32"/>
          <w:shd w:val="clear" w:color="auto" w:fill="auto"/>
          <w:lang w:val="en-US" w:eastAsia="zh-CN"/>
        </w:rPr>
      </w:pPr>
      <w:r>
        <w:rPr>
          <w:rFonts w:hint="eastAsia" w:ascii="黑体" w:hAnsi="黑体" w:eastAsia="黑体" w:cs="黑体"/>
          <w:spacing w:val="-6"/>
          <w:sz w:val="32"/>
          <w:szCs w:val="32"/>
          <w:shd w:val="clear" w:color="auto" w:fill="auto"/>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highlight w:val="none"/>
          <w:lang w:eastAsia="zh-CN"/>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政务数据使用保密承诺书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lang w:val="en-US" w:eastAsia="zh-CN" w:bidi="ar-SA"/>
        </w:rPr>
      </w:pPr>
    </w:p>
    <w:p>
      <w:pPr>
        <w:numPr>
          <w:ilvl w:val="0"/>
          <w:numId w:val="0"/>
        </w:numPr>
        <w:ind w:firstLine="640" w:firstLineChars="200"/>
        <w:jc w:val="left"/>
        <w:rPr>
          <w:rFonts w:hint="eastAsia" w:ascii="黑体" w:hAnsi="黑体" w:eastAsia="黑体" w:cs="黑体"/>
          <w:sz w:val="32"/>
          <w:szCs w:val="32"/>
          <w:highlight w:val="none"/>
          <w:lang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sz w:val="32"/>
          <w:szCs w:val="32"/>
          <w:highlight w:val="none"/>
          <w:lang w:eastAsia="zh-CN"/>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协议中政务数据是指，政务外网接入单位在履行职责过程中产生的具有价值的、依托于政务云保存或政务外网传输的数据资源，包括但不限于政策文件、行政决策数据、公共服务数据等。政务数据具有重要的参考价值和应用潜力，但其中也包含大量的敏感信息和个人隐私，需要得到妥善的保护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政务外网数据使用保密协议的制定旨在保障政务数据的安全和合理使用，确保政府及相关部门在政务云网使用数据过程中遵循合法、安全、可控的原则。</w:t>
      </w:r>
    </w:p>
    <w:p>
      <w:pPr>
        <w:numPr>
          <w:ilvl w:val="0"/>
          <w:numId w:val="0"/>
        </w:numPr>
        <w:ind w:firstLine="640" w:firstLineChars="200"/>
        <w:jc w:val="left"/>
        <w:rPr>
          <w:rFonts w:hint="eastAsia" w:ascii="黑体" w:hAnsi="黑体" w:eastAsia="黑体" w:cs="黑体"/>
          <w:sz w:val="32"/>
          <w:szCs w:val="32"/>
          <w:highlight w:val="none"/>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sz w:val="32"/>
          <w:szCs w:val="32"/>
          <w:highlight w:val="none"/>
          <w:lang w:eastAsia="zh-CN"/>
        </w:rPr>
        <w:t>目的和范围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政务外网数据使用保密协议的目的是明确政务外网接入单位在获取、存储、传输、使用政务数据时应遵守的规定和程序，以保证政务数据的安全性和保密性，防止数据泄露和滥用。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本协议适用于政务外网接入单位在处理政务数据时必须遵守的规定，包括政府工作人员、企事业单位、第三方供应商等。</w:t>
      </w:r>
    </w:p>
    <w:p>
      <w:pPr>
        <w:numPr>
          <w:ilvl w:val="0"/>
          <w:numId w:val="0"/>
        </w:numPr>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color w:val="auto"/>
          <w:kern w:val="2"/>
          <w:sz w:val="32"/>
          <w:szCs w:val="32"/>
          <w:lang w:val="en-US" w:eastAsia="zh-CN" w:bidi="ar-SA"/>
        </w:rPr>
        <w:t>三、</w:t>
      </w:r>
      <w:r>
        <w:rPr>
          <w:rFonts w:hint="eastAsia" w:ascii="黑体" w:hAnsi="黑体" w:eastAsia="黑体" w:cs="黑体"/>
          <w:sz w:val="32"/>
          <w:szCs w:val="32"/>
          <w:highlight w:val="none"/>
          <w:lang w:val="en-US" w:eastAsia="zh-CN"/>
        </w:rPr>
        <w:t>接入单位权利、义务与责任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1.接</w:t>
      </w:r>
      <w:r>
        <w:rPr>
          <w:rFonts w:hint="eastAsia" w:ascii="仿宋_GB2312" w:hAnsi="仿宋_GB2312" w:eastAsia="仿宋_GB2312" w:cs="仿宋_GB2312"/>
          <w:b w:val="0"/>
          <w:bCs w:val="0"/>
          <w:sz w:val="32"/>
          <w:szCs w:val="32"/>
          <w:highlight w:val="none"/>
          <w:lang w:val="en-US" w:eastAsia="zh-CN"/>
        </w:rPr>
        <w:t>入单位应妥善保管政务数据，确保数据的绝对安全；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2.接</w:t>
      </w:r>
      <w:r>
        <w:rPr>
          <w:rFonts w:hint="eastAsia" w:ascii="仿宋_GB2312" w:hAnsi="仿宋_GB2312" w:eastAsia="仿宋_GB2312" w:cs="仿宋_GB2312"/>
          <w:b w:val="0"/>
          <w:bCs w:val="0"/>
          <w:sz w:val="32"/>
          <w:szCs w:val="32"/>
          <w:highlight w:val="none"/>
          <w:lang w:val="en-US" w:eastAsia="zh-CN"/>
        </w:rPr>
        <w:t xml:space="preserve">入单位不得向任何单位和个人泄露政务数据；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3.接</w:t>
      </w:r>
      <w:r>
        <w:rPr>
          <w:rFonts w:hint="eastAsia" w:ascii="仿宋_GB2312" w:hAnsi="仿宋_GB2312" w:eastAsia="仿宋_GB2312" w:cs="仿宋_GB2312"/>
          <w:b w:val="0"/>
          <w:bCs w:val="0"/>
          <w:sz w:val="32"/>
          <w:szCs w:val="32"/>
          <w:highlight w:val="none"/>
          <w:lang w:val="en-US" w:eastAsia="zh-CN"/>
        </w:rPr>
        <w:t>入单位不得利用所掌握的政务数据牟取私利；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4.接</w:t>
      </w:r>
      <w:r>
        <w:rPr>
          <w:rFonts w:hint="eastAsia" w:ascii="仿宋_GB2312" w:hAnsi="仿宋_GB2312" w:eastAsia="仿宋_GB2312" w:cs="仿宋_GB2312"/>
          <w:b w:val="0"/>
          <w:bCs w:val="0"/>
          <w:sz w:val="32"/>
          <w:szCs w:val="32"/>
          <w:highlight w:val="none"/>
          <w:lang w:val="en-US" w:eastAsia="zh-CN"/>
        </w:rPr>
        <w:t>入单位不得使用政务数据从事危害国家安全、社会公共利益和他人合法权益的活动；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5.接</w:t>
      </w:r>
      <w:r>
        <w:rPr>
          <w:rFonts w:hint="eastAsia" w:ascii="仿宋_GB2312" w:hAnsi="仿宋_GB2312" w:eastAsia="仿宋_GB2312" w:cs="仿宋_GB2312"/>
          <w:b w:val="0"/>
          <w:bCs w:val="0"/>
          <w:sz w:val="32"/>
          <w:szCs w:val="32"/>
          <w:highlight w:val="none"/>
          <w:lang w:val="en-US" w:eastAsia="zh-CN"/>
        </w:rPr>
        <w:t>入单位同意并承诺，政务数据未经来源方许可披露给他人或在互联网上泄露，所造成的直接损失和影响，由接入单位承担一切责任；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6.接</w:t>
      </w:r>
      <w:r>
        <w:rPr>
          <w:rFonts w:hint="eastAsia" w:ascii="仿宋_GB2312" w:hAnsi="仿宋_GB2312" w:eastAsia="仿宋_GB2312" w:cs="仿宋_GB2312"/>
          <w:b w:val="0"/>
          <w:bCs w:val="0"/>
          <w:sz w:val="32"/>
          <w:szCs w:val="32"/>
          <w:highlight w:val="none"/>
          <w:lang w:val="en-US" w:eastAsia="zh-CN"/>
        </w:rPr>
        <w:t>入单位同意并承诺，未经数据来源方同意，接入单位不可在互联网上发布任何政务数据。</w:t>
      </w:r>
    </w:p>
    <w:p>
      <w:pPr>
        <w:numPr>
          <w:ilvl w:val="0"/>
          <w:numId w:val="0"/>
        </w:numPr>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sz w:val="32"/>
          <w:szCs w:val="32"/>
          <w:highlight w:val="none"/>
          <w:lang w:val="en-US" w:eastAsia="zh-CN"/>
        </w:rPr>
        <w:t>本协议自接入单位签字盖章起生效。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接入单位名称：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888" w:firstLineChars="18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（盖章）</w:t>
      </w:r>
    </w:p>
    <w:p>
      <w:pPr>
        <w:widowControl w:val="0"/>
        <w:numPr>
          <w:ilvl w:val="0"/>
          <w:numId w:val="0"/>
        </w:numPr>
        <w:wordWrap/>
        <w:adjustRightInd/>
        <w:snapToGrid/>
        <w:ind w:firstLine="840" w:firstLineChars="300"/>
        <w:jc w:val="left"/>
        <w:textAlignment w:val="auto"/>
        <w:rPr>
          <w:rFonts w:hint="default" w:ascii="仿宋" w:hAnsi="仿宋" w:eastAsia="仿宋" w:cs="仿宋"/>
          <w:sz w:val="28"/>
          <w:szCs w:val="28"/>
          <w:highlight w:val="none"/>
          <w:lang w:val="en-US" w:eastAsia="zh-CN"/>
        </w:rPr>
      </w:pPr>
    </w:p>
    <w:p>
      <w:pPr>
        <w:pStyle w:val="2"/>
        <w:rPr>
          <w:rFonts w:hint="default" w:ascii="仿宋" w:hAnsi="仿宋" w:eastAsia="仿宋" w:cs="仿宋"/>
          <w:sz w:val="28"/>
          <w:szCs w:val="28"/>
          <w:highlight w:val="none"/>
          <w:lang w:val="en-US" w:eastAsia="zh-CN"/>
        </w:rPr>
      </w:pPr>
    </w:p>
    <w:p>
      <w:pPr>
        <w:rPr>
          <w:rFonts w:hint="default" w:ascii="仿宋" w:hAnsi="仿宋" w:eastAsia="仿宋" w:cs="仿宋"/>
          <w:sz w:val="28"/>
          <w:szCs w:val="28"/>
          <w:highlight w:val="none"/>
          <w:lang w:val="en-US" w:eastAsia="zh-CN"/>
        </w:rPr>
      </w:pPr>
    </w:p>
    <w:p>
      <w:pPr>
        <w:pStyle w:val="2"/>
        <w:rPr>
          <w:rFonts w:hint="default" w:ascii="仿宋" w:hAnsi="仿宋" w:eastAsia="仿宋" w:cs="仿宋"/>
          <w:sz w:val="28"/>
          <w:szCs w:val="28"/>
          <w:highlight w:val="none"/>
          <w:lang w:val="en-US" w:eastAsia="zh-CN"/>
        </w:rPr>
      </w:pPr>
    </w:p>
    <w:p>
      <w:pPr>
        <w:rPr>
          <w:rFonts w:hint="default" w:ascii="仿宋" w:hAnsi="仿宋" w:eastAsia="仿宋" w:cs="仿宋"/>
          <w:sz w:val="28"/>
          <w:szCs w:val="28"/>
          <w:highlight w:val="none"/>
          <w:lang w:val="en-US" w:eastAsia="zh-CN"/>
        </w:rPr>
      </w:pPr>
    </w:p>
    <w:p>
      <w:pPr>
        <w:pStyle w:val="2"/>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lang w:val="en-US" w:eastAsia="zh-CN"/>
        </w:rPr>
      </w:pPr>
    </w:p>
    <w:p>
      <w:pPr>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52070</wp:posOffset>
                </wp:positionV>
                <wp:extent cx="5638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3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5pt;margin-top:4.1pt;height:0pt;width:444pt;z-index:251661312;mso-width-relative:page;mso-height-relative:page;" filled="f" stroked="t" coordsize="21600,21600" o:gfxdata="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r9/k/tEAAAAF&#10;AQAADwAAAAAAAAABACAAAAA4AAAAZHJzL2Rvd25yZXYueG1sUEsBAhQAFAAAAAgAh07iQHutjRPU&#10;AQAAhQMAAA4AAAAAAAAAAQAgAAAANgEAAGRycy9lMm9Eb2MueG1sUEsFBgAAAAAGAAYAWQEAAHwF&#10;AAAAAA==&#10;">
                <v:fill on="f" focussize="0,0"/>
                <v:stroke color="#000000 [3200]"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368300</wp:posOffset>
                </wp:positionV>
                <wp:extent cx="56388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3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pt;margin-top:29pt;height:0pt;width:444pt;z-index:251660288;mso-width-relative:page;mso-height-relative:page;" filled="f" stroked="t" coordsize="21600,21600" o:gfxdata="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Da9iM0wAA&#10;AAcBAAAPAAAAAAAAAAEAIAAAADgAAABkcnMvZG93bnJldi54bWxQSwECFAAUAAAACACHTuJAQEmj&#10;WtQBAACFAwAADgAAAAAAAAABACAAAAA4AQAAZHJzL2Uyb0RvYy54bWxQSwUGAAAAAAYABgBZAQAA&#10;fgUAAAAA&#10;">
                <v:fill on="f" focussize="0,0"/>
                <v:stroke color="#000000 [3200]" joinstyle="round"/>
                <v:imagedata o:title=""/>
                <o:lock v:ext="edit" aspectratio="f"/>
              </v:line>
            </w:pict>
          </mc:Fallback>
        </mc:AlternateContent>
      </w:r>
      <w:r>
        <w:rPr>
          <w:rFonts w:hint="eastAsia" w:ascii="仿宋_GB2312" w:hAnsi="仿宋" w:eastAsia="仿宋_GB2312"/>
          <w:color w:val="auto"/>
          <w:sz w:val="28"/>
          <w:szCs w:val="28"/>
          <w:u w:val="none"/>
        </w:rPr>
        <w:t>包头市</w:t>
      </w:r>
      <w:r>
        <w:rPr>
          <w:rFonts w:hint="eastAsia" w:ascii="仿宋_GB2312" w:hAnsi="仿宋" w:eastAsia="仿宋_GB2312"/>
          <w:color w:val="auto"/>
          <w:sz w:val="28"/>
          <w:szCs w:val="28"/>
          <w:u w:val="none"/>
          <w:lang w:eastAsia="zh-CN"/>
        </w:rPr>
        <w:t>行政审批</w:t>
      </w:r>
      <w:r>
        <w:rPr>
          <w:rFonts w:hint="eastAsia" w:ascii="仿宋_GB2312" w:hAnsi="仿宋" w:eastAsia="仿宋_GB2312"/>
          <w:color w:val="auto"/>
          <w:sz w:val="28"/>
          <w:szCs w:val="28"/>
          <w:u w:val="none"/>
        </w:rPr>
        <w:t>政务服务</w:t>
      </w:r>
      <w:r>
        <w:rPr>
          <w:rFonts w:hint="eastAsia" w:ascii="仿宋_GB2312" w:hAnsi="仿宋" w:eastAsia="仿宋_GB2312"/>
          <w:color w:val="auto"/>
          <w:sz w:val="28"/>
          <w:szCs w:val="28"/>
          <w:u w:val="none"/>
          <w:lang w:eastAsia="zh-CN"/>
        </w:rPr>
        <w:t>与数据管理局</w:t>
      </w:r>
      <w:r>
        <w:rPr>
          <w:rFonts w:hint="eastAsia" w:hAnsi="仿宋"/>
          <w:color w:val="auto"/>
          <w:sz w:val="28"/>
          <w:szCs w:val="28"/>
          <w:u w:val="none"/>
          <w:lang w:val="en-US" w:eastAsia="zh-CN"/>
        </w:rPr>
        <w:t xml:space="preserve">          </w:t>
      </w:r>
      <w:r>
        <w:rPr>
          <w:rFonts w:hint="eastAsia" w:ascii="Times New Roman" w:hAnsi="Times New Roman" w:eastAsia="仿宋_GB2312" w:cs="Times New Roman"/>
          <w:color w:val="auto"/>
          <w:spacing w:val="-6"/>
          <w:kern w:val="2"/>
          <w:sz w:val="28"/>
          <w:szCs w:val="28"/>
          <w:lang w:val="en-US" w:eastAsia="zh-CN" w:bidi="ar-SA"/>
        </w:rPr>
        <w:t>2025</w:t>
      </w:r>
      <w:r>
        <w:rPr>
          <w:rFonts w:hint="eastAsia" w:ascii="仿宋_GB2312" w:hAnsi="仿宋" w:eastAsia="仿宋_GB2312"/>
          <w:color w:val="auto"/>
          <w:sz w:val="28"/>
          <w:szCs w:val="28"/>
          <w:u w:val="none"/>
        </w:rPr>
        <w:t>年</w:t>
      </w:r>
      <w:r>
        <w:rPr>
          <w:rFonts w:hint="eastAsia" w:ascii="Times New Roman" w:hAnsi="Times New Roman" w:eastAsia="仿宋_GB2312" w:cs="Times New Roman"/>
          <w:color w:val="auto"/>
          <w:spacing w:val="-6"/>
          <w:kern w:val="2"/>
          <w:sz w:val="28"/>
          <w:szCs w:val="28"/>
          <w:lang w:val="en-US" w:eastAsia="zh-CN" w:bidi="ar-SA"/>
        </w:rPr>
        <w:t>8</w:t>
      </w:r>
      <w:r>
        <w:rPr>
          <w:rFonts w:hint="eastAsia" w:ascii="仿宋_GB2312" w:hAnsi="仿宋" w:eastAsia="仿宋_GB2312"/>
          <w:color w:val="auto"/>
          <w:sz w:val="28"/>
          <w:szCs w:val="28"/>
          <w:u w:val="none"/>
        </w:rPr>
        <w:t>月</w:t>
      </w:r>
      <w:r>
        <w:rPr>
          <w:rFonts w:hint="eastAsia" w:ascii="Times New Roman" w:hAnsi="Times New Roman" w:eastAsia="仿宋_GB2312" w:cs="Times New Roman"/>
          <w:color w:val="auto"/>
          <w:spacing w:val="-6"/>
          <w:kern w:val="2"/>
          <w:sz w:val="28"/>
          <w:szCs w:val="28"/>
          <w:lang w:val="en-US" w:eastAsia="zh-CN" w:bidi="ar-SA"/>
        </w:rPr>
        <w:t>14</w:t>
      </w:r>
      <w:r>
        <w:rPr>
          <w:rFonts w:hint="eastAsia" w:ascii="仿宋_GB2312" w:hAnsi="仿宋" w:eastAsia="仿宋_GB2312"/>
          <w:color w:val="auto"/>
          <w:sz w:val="28"/>
          <w:szCs w:val="28"/>
          <w:u w:val="none"/>
        </w:rPr>
        <w:t>日印发</w:t>
      </w:r>
    </w:p>
    <w:sectPr>
      <w:pgSz w:w="11906" w:h="16838"/>
      <w:pgMar w:top="1984"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auto"/>
    <w:pitch w:val="default"/>
    <w:sig w:usb0="A00002AF" w:usb1="500078FB" w:usb2="00000000" w:usb3="00000000" w:csb0="6000009F" w:csb1="DFD70000"/>
  </w:font>
  <w:font w:name="Noto Sans CJK SC Regular">
    <w:altName w:val="Noto Sans Mono CJK HK"/>
    <w:panose1 w:val="020B0500000000000000"/>
    <w:charset w:val="86"/>
    <w:family w:val="auto"/>
    <w:pitch w:val="default"/>
    <w:sig w:usb0="00000000" w:usb1="0000000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国标黑体">
    <w:panose1 w:val="02000500000000000000"/>
    <w:charset w:val="86"/>
    <w:family w:val="auto"/>
    <w:pitch w:val="default"/>
    <w:sig w:usb0="00000001" w:usb1="08000000" w:usb2="00000000" w:usb3="00000000" w:csb0="000600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oaYJL0wAAAAUBAAAPAAAAAAAAAAEAIAAAADgA&#10;AABkcnMvZG93bnJldi54bWxQSwECFAAUAAAACACHTuJA9y1Air8BAABfAwAADgAAAAAAAAABACAA&#10;AAA4AQAAZHJzL2Uyb0RvYy54bWxQSwUGAAAAAAYABgBZAQAAaQUAAAAA&#10;">
              <v:fill on="f" focussize="0,0"/>
              <v:stroke on="f" weight="1.2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F5DB7"/>
    <w:multiLevelType w:val="singleLevel"/>
    <w:tmpl w:val="9A9F5DB7"/>
    <w:lvl w:ilvl="0" w:tentative="0">
      <w:start w:val="1"/>
      <w:numFmt w:val="decimal"/>
      <w:lvlText w:val="%1."/>
      <w:lvlJc w:val="left"/>
      <w:pPr>
        <w:ind w:left="425" w:hanging="425"/>
      </w:pPr>
      <w:rPr>
        <w:rFonts w:hint="default"/>
      </w:rPr>
    </w:lvl>
  </w:abstractNum>
  <w:abstractNum w:abstractNumId="1">
    <w:nsid w:val="0065A24D"/>
    <w:multiLevelType w:val="singleLevel"/>
    <w:tmpl w:val="0065A24D"/>
    <w:lvl w:ilvl="0" w:tentative="0">
      <w:start w:val="1"/>
      <w:numFmt w:val="decimal"/>
      <w:lvlText w:val="%1."/>
      <w:lvlJc w:val="left"/>
      <w:pPr>
        <w:ind w:left="425" w:hanging="425"/>
      </w:pPr>
      <w:rPr>
        <w:rFonts w:hint="default"/>
        <w:color w:val="000000" w:themeColor="text1"/>
        <w14:textFill>
          <w14:solidFill>
            <w14:schemeClr w14:val="tx1"/>
          </w14:solidFill>
        </w14:textFill>
      </w:rPr>
    </w:lvl>
  </w:abstractNum>
  <w:abstractNum w:abstractNumId="2">
    <w:nsid w:val="10474AF5"/>
    <w:multiLevelType w:val="singleLevel"/>
    <w:tmpl w:val="10474AF5"/>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jI0NmRiNTg5ODI1YzIzZDAxMGFhMWMxZDM3NzgifQ=="/>
  </w:docVars>
  <w:rsids>
    <w:rsidRoot w:val="00000000"/>
    <w:rsid w:val="051A6F66"/>
    <w:rsid w:val="09EE6EBB"/>
    <w:rsid w:val="0E821A9F"/>
    <w:rsid w:val="10621BB2"/>
    <w:rsid w:val="135875D7"/>
    <w:rsid w:val="14740A1C"/>
    <w:rsid w:val="15251F12"/>
    <w:rsid w:val="1542236E"/>
    <w:rsid w:val="1598380F"/>
    <w:rsid w:val="16922E00"/>
    <w:rsid w:val="17B992E6"/>
    <w:rsid w:val="1EC02166"/>
    <w:rsid w:val="1EC5519F"/>
    <w:rsid w:val="1EFF07DC"/>
    <w:rsid w:val="1FFF3406"/>
    <w:rsid w:val="1FFF948D"/>
    <w:rsid w:val="23931042"/>
    <w:rsid w:val="23B56380"/>
    <w:rsid w:val="263F5BCC"/>
    <w:rsid w:val="26861E4E"/>
    <w:rsid w:val="274E5B18"/>
    <w:rsid w:val="27AFCE2E"/>
    <w:rsid w:val="27B1139A"/>
    <w:rsid w:val="31AF7C58"/>
    <w:rsid w:val="33A77325"/>
    <w:rsid w:val="33EF97A4"/>
    <w:rsid w:val="34476A07"/>
    <w:rsid w:val="35650626"/>
    <w:rsid w:val="357070B5"/>
    <w:rsid w:val="3AF306BA"/>
    <w:rsid w:val="3BF75FCF"/>
    <w:rsid w:val="3BFFF7B6"/>
    <w:rsid w:val="3DDB0EB2"/>
    <w:rsid w:val="3EC5195E"/>
    <w:rsid w:val="3EF41307"/>
    <w:rsid w:val="3F9B1754"/>
    <w:rsid w:val="3FF72CAC"/>
    <w:rsid w:val="3FF75143"/>
    <w:rsid w:val="402D7572"/>
    <w:rsid w:val="41A10BB0"/>
    <w:rsid w:val="451C7408"/>
    <w:rsid w:val="47FA3569"/>
    <w:rsid w:val="480A7253"/>
    <w:rsid w:val="49B67D1E"/>
    <w:rsid w:val="4C307DA0"/>
    <w:rsid w:val="4C6E5AC5"/>
    <w:rsid w:val="4E8011B5"/>
    <w:rsid w:val="4F313E64"/>
    <w:rsid w:val="503906A0"/>
    <w:rsid w:val="50444770"/>
    <w:rsid w:val="504F0C4F"/>
    <w:rsid w:val="53FFF932"/>
    <w:rsid w:val="54FA4593"/>
    <w:rsid w:val="577F49BB"/>
    <w:rsid w:val="57DFC02F"/>
    <w:rsid w:val="57FBFBE6"/>
    <w:rsid w:val="59237016"/>
    <w:rsid w:val="5B7FDA89"/>
    <w:rsid w:val="5BAAC985"/>
    <w:rsid w:val="5D569384"/>
    <w:rsid w:val="5E37A2FB"/>
    <w:rsid w:val="5E77E1CA"/>
    <w:rsid w:val="5FBBCD8D"/>
    <w:rsid w:val="5FBCB079"/>
    <w:rsid w:val="5FD93E06"/>
    <w:rsid w:val="5FFBF133"/>
    <w:rsid w:val="5FFBFC39"/>
    <w:rsid w:val="65A93DA2"/>
    <w:rsid w:val="65F3249C"/>
    <w:rsid w:val="67121F67"/>
    <w:rsid w:val="67FF4974"/>
    <w:rsid w:val="6ABEAF39"/>
    <w:rsid w:val="6BFE02AD"/>
    <w:rsid w:val="6E9C0251"/>
    <w:rsid w:val="6EBF44DF"/>
    <w:rsid w:val="6ED7D556"/>
    <w:rsid w:val="6EED3E9C"/>
    <w:rsid w:val="6FABAC48"/>
    <w:rsid w:val="6FD65A2F"/>
    <w:rsid w:val="72269CC5"/>
    <w:rsid w:val="75BD1171"/>
    <w:rsid w:val="76EB0A58"/>
    <w:rsid w:val="77B961A5"/>
    <w:rsid w:val="77BEBE98"/>
    <w:rsid w:val="7995DAA3"/>
    <w:rsid w:val="7ACF404F"/>
    <w:rsid w:val="7BE5987B"/>
    <w:rsid w:val="7BFE8232"/>
    <w:rsid w:val="7DF8C7DE"/>
    <w:rsid w:val="7DFF65EB"/>
    <w:rsid w:val="7E338F16"/>
    <w:rsid w:val="7E7744C7"/>
    <w:rsid w:val="7EB76BA9"/>
    <w:rsid w:val="7EBBE373"/>
    <w:rsid w:val="7EBF0146"/>
    <w:rsid w:val="7EFE1451"/>
    <w:rsid w:val="7EFEFE0F"/>
    <w:rsid w:val="7F3FBCC5"/>
    <w:rsid w:val="7F9CB6F3"/>
    <w:rsid w:val="7FB7F09A"/>
    <w:rsid w:val="7FEDCFA1"/>
    <w:rsid w:val="7FFBA776"/>
    <w:rsid w:val="7FFD49D1"/>
    <w:rsid w:val="87B5DB0E"/>
    <w:rsid w:val="8EDD3FDF"/>
    <w:rsid w:val="8FEF31BC"/>
    <w:rsid w:val="9EB72E45"/>
    <w:rsid w:val="9FFDB24A"/>
    <w:rsid w:val="A3F0E9C8"/>
    <w:rsid w:val="A57F04FE"/>
    <w:rsid w:val="AED7E2C3"/>
    <w:rsid w:val="AEEF6522"/>
    <w:rsid w:val="AFFE9431"/>
    <w:rsid w:val="B38BAA20"/>
    <w:rsid w:val="B4FBB66D"/>
    <w:rsid w:val="B5B75E2E"/>
    <w:rsid w:val="B6DFE00E"/>
    <w:rsid w:val="BAE0F2AD"/>
    <w:rsid w:val="BEFF590B"/>
    <w:rsid w:val="BF738EAD"/>
    <w:rsid w:val="BF7FA46C"/>
    <w:rsid w:val="BFBBE36C"/>
    <w:rsid w:val="BFC713E2"/>
    <w:rsid w:val="BFEBF8BD"/>
    <w:rsid w:val="BFFBC879"/>
    <w:rsid w:val="CCFF4A23"/>
    <w:rsid w:val="CFAF6C85"/>
    <w:rsid w:val="D2D7D59F"/>
    <w:rsid w:val="D6560F5B"/>
    <w:rsid w:val="DBF230F6"/>
    <w:rsid w:val="DDF627D8"/>
    <w:rsid w:val="DDFF335A"/>
    <w:rsid w:val="DECF460B"/>
    <w:rsid w:val="DF7D3642"/>
    <w:rsid w:val="DFAF569E"/>
    <w:rsid w:val="E3EB04E2"/>
    <w:rsid w:val="E5FDDF79"/>
    <w:rsid w:val="E7776949"/>
    <w:rsid w:val="E7FF7DB2"/>
    <w:rsid w:val="EA5F3A19"/>
    <w:rsid w:val="EABF61FD"/>
    <w:rsid w:val="EB65779D"/>
    <w:rsid w:val="ECDE967D"/>
    <w:rsid w:val="ECE4ACFD"/>
    <w:rsid w:val="EDBF162D"/>
    <w:rsid w:val="EDDC4D25"/>
    <w:rsid w:val="EF3EC21D"/>
    <w:rsid w:val="EFDFC684"/>
    <w:rsid w:val="F5FE59F7"/>
    <w:rsid w:val="F64F750F"/>
    <w:rsid w:val="F6B0B5FE"/>
    <w:rsid w:val="F7BB0CFB"/>
    <w:rsid w:val="F7EE3A39"/>
    <w:rsid w:val="F7FF94BB"/>
    <w:rsid w:val="F8CDD550"/>
    <w:rsid w:val="F9FA9586"/>
    <w:rsid w:val="FA67BFAE"/>
    <w:rsid w:val="FA97E413"/>
    <w:rsid w:val="FB755897"/>
    <w:rsid w:val="FBF72CDB"/>
    <w:rsid w:val="FBFB7EAB"/>
    <w:rsid w:val="FBFC5A83"/>
    <w:rsid w:val="FCBD841E"/>
    <w:rsid w:val="FDCDCBE5"/>
    <w:rsid w:val="FDF72130"/>
    <w:rsid w:val="FDFF3090"/>
    <w:rsid w:val="FE3FDD18"/>
    <w:rsid w:val="FEEE395B"/>
    <w:rsid w:val="FF1BE601"/>
    <w:rsid w:val="FF7264A5"/>
    <w:rsid w:val="FF7E6D27"/>
    <w:rsid w:val="FF7F1120"/>
    <w:rsid w:val="FF9C6855"/>
    <w:rsid w:val="FFEBBD71"/>
    <w:rsid w:val="FFEF287C"/>
    <w:rsid w:val="FFEF5B14"/>
    <w:rsid w:val="FFF7E958"/>
    <w:rsid w:val="FFF98C3F"/>
    <w:rsid w:val="FFFEB239"/>
    <w:rsid w:val="FFFF4CC4"/>
    <w:rsid w:val="FFFFC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toc 3"/>
    <w:basedOn w:val="1"/>
    <w:next w:val="1"/>
    <w:unhideWhenUsed/>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6"/>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默认段落字体1"/>
    <w:qFormat/>
    <w:uiPriority w:val="0"/>
  </w:style>
  <w:style w:type="paragraph" w:customStyle="1" w:styleId="17">
    <w:name w:val="正文文本1"/>
    <w:basedOn w:val="1"/>
    <w:unhideWhenUsed/>
    <w:qFormat/>
    <w:uiPriority w:val="99"/>
    <w:pPr>
      <w:shd w:val="clear" w:color="auto" w:fill="FFFFFF"/>
      <w:spacing w:before="780" w:beforeLines="0" w:afterLines="0" w:line="577" w:lineRule="exact"/>
      <w:ind w:hanging="900"/>
    </w:pPr>
    <w:rPr>
      <w:rFonts w:hint="eastAsia" w:ascii="宋体" w:hAnsi="宋体" w:eastAsia="宋体"/>
      <w:sz w:val="29"/>
      <w:szCs w:val="2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3977</Words>
  <Characters>3992</Characters>
  <Lines>0</Lines>
  <Paragraphs>0</Paragraphs>
  <TotalTime>1</TotalTime>
  <ScaleCrop>false</ScaleCrop>
  <LinksUpToDate>false</LinksUpToDate>
  <CharactersWithSpaces>4063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2018-12-08T01:47:00Z</dcterms:created>
  <dc:creator>user</dc:creator>
  <cp:lastModifiedBy>zw</cp:lastModifiedBy>
  <cp:lastPrinted>2025-06-06T09:35:00Z</cp:lastPrinted>
  <dcterms:modified xsi:type="dcterms:W3CDTF">2025-08-14T15:44:55Z</dcterms:modified>
  <dc:title>包头市电子政务外网管理和使用规范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C93B76DF985B3440C0A52268F371ABA8_43</vt:lpwstr>
  </property>
  <property fmtid="{D5CDD505-2E9C-101B-9397-08002B2CF9AE}" pid="4" name="KSOTemplateDocerSaveRecord">
    <vt:lpwstr>eyJoZGlkIjoiMDk1OTNlM2UzODZhODUwZmVjOTU1NzY1NzA4OGMyNmUiLCJ1c2VySWQiOiIxMDMyOTI0NjEyIn0=</vt:lpwstr>
  </property>
</Properties>
</file>