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sz w:val="32"/>
          <w:szCs w:val="32"/>
        </w:rPr>
      </w:pPr>
    </w:p>
    <w:p>
      <w:pPr>
        <w:pStyle w:val="4"/>
        <w:rPr>
          <w:rFonts w:eastAsia="仿宋_GB2312"/>
          <w:sz w:val="32"/>
          <w:szCs w:val="32"/>
        </w:rPr>
      </w:pPr>
    </w:p>
    <w:p>
      <w:pPr>
        <w:pStyle w:val="4"/>
        <w:jc w:val="both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包青住建发〔202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号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戴颖谦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宋体"/>
          <w:sz w:val="28"/>
          <w:szCs w:val="28"/>
        </w:rPr>
        <w:t>　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青山区提升物业服务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奖励扶持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资金使用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试行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36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 xml:space="preserve">第一条 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进一步规范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物业管理工作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提升物业服务水平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激发物业管理活力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，推进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物业精细化管理提升工作，依据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《内蒙古自治区物业管理条例》《包头市物业管理条例》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等有关法律法规，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青山区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提升物业服务专项资金，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建立奖优惩劣、公开透明的扶持资金管理运作机制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有效发挥财政资金的激励作用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形成良好的行业氛围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 xml:space="preserve">第二条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>区财政2025年为各街镇列支10万元物业服务提升扶持专项资金，用于物业服务维修、维护、宣传等各类提升活动，为区住建局列支50万元专项资金，用于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优秀物业服务企业奖补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>、购买第三方专业调解服务等。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 xml:space="preserve">第三条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>物业服务提升扶持</w:t>
      </w:r>
      <w:r>
        <w:rPr>
          <w:rFonts w:hint="default" w:ascii="Times New Roman" w:hAnsi="Times New Roman" w:eastAsia="黑体" w:cs="Times New Roman"/>
          <w:sz w:val="32"/>
          <w:szCs w:val="40"/>
        </w:rPr>
        <w:t>对象和标准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1.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扶持对象。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原则上用于奖励老旧小区项目的增值服务，每季度由街镇组成考核组进行满意度评价，依据评价结果排名进行奖励，也可根据实际情况，自行确定扶持和标准。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2.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扶持方式。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物资奖励。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第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40"/>
        </w:rPr>
        <w:t xml:space="preserve">条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  <w:t>物业服务提升扶持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审核与兑现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审核程序。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由各街镇负责组织扶持对象的评价，经评价后形成奖励决定，报区住建局备案。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兑现程序。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各街镇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向社会公示7天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，无异议后按照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确定的扶持标准兑现。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第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40"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优秀物业服务企业奖补</w:t>
      </w:r>
      <w:r>
        <w:rPr>
          <w:rFonts w:hint="default" w:ascii="Times New Roman" w:hAnsi="Times New Roman" w:eastAsia="黑体" w:cs="Times New Roman"/>
          <w:sz w:val="32"/>
          <w:szCs w:val="40"/>
        </w:rPr>
        <w:t>对象和标准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奖补对象。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在青山区从事住宅物业服务且季度星级评价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在三星级以上的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物业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u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u w:val="none"/>
          <w:lang w:val="en-US" w:eastAsia="zh-CN"/>
        </w:rPr>
        <w:t>奖补标准。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全年拿出约30万元进行奖励。具体奖励标准为：一级服务标准项目奖励1个，二级服务标准项目奖励3个，三级服务标准项目奖励5个，每个项目奖励1.5万元，每半年奖励1次。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第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40"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优秀物业服务企业</w:t>
      </w:r>
      <w:r>
        <w:rPr>
          <w:rFonts w:hint="default" w:ascii="Times New Roman" w:hAnsi="Times New Roman" w:eastAsia="黑体" w:cs="Times New Roman"/>
          <w:sz w:val="32"/>
          <w:szCs w:val="40"/>
        </w:rPr>
        <w:t>的考核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评价</w:t>
      </w:r>
      <w:r>
        <w:rPr>
          <w:rFonts w:hint="default" w:ascii="Times New Roman" w:hAnsi="Times New Roman" w:eastAsia="黑体" w:cs="Times New Roman"/>
          <w:sz w:val="32"/>
          <w:szCs w:val="40"/>
        </w:rPr>
        <w:t>与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考核评价。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eastAsia="zh-CN"/>
        </w:rPr>
        <w:t>按照《青山区住宅小区物业服务星级动态评价管理制度》进行考核评价，形成最终评价结果上报区政府同意。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40"/>
          <w:lang w:val="en-US" w:eastAsia="zh-CN"/>
        </w:rPr>
        <w:t>奖励兑现。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按照物业服务企业需要提供小区公共设施维修、维护等服务或购买物业服务设备等。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第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40"/>
        </w:rPr>
        <w:t xml:space="preserve">条 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第三方购买服务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通过购买第三方服务，提供全区物业矛盾第三方调解服务等。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第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40"/>
        </w:rPr>
        <w:t>条 资金的监督与检查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区住建局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、各街镇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负责提出年度财政资金预算安排建议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，做好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日常监管、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价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奖励兑现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确保专项资金使用取得实效；区财政局负责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专项资金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并及时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下达。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任何单位不得以任何形式、任何理由骗取专项资金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接受审计、财政、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纪检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监察部门的监督、检查。如有违反规定使用、骗取专项资金的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按照有关规定追究相关责任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人责任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第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40"/>
        </w:rPr>
        <w:t>条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包头市青山区住房和城乡建设局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负责解释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2025年4月1日起实施。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4" w:lineRule="exact"/>
        <w:ind w:left="0" w:leftChars="0" w:right="0" w:rightChars="0" w:firstLine="4480" w:firstLineChars="1400"/>
        <w:jc w:val="right"/>
        <w:textAlignment w:val="auto"/>
        <w:outlineLvl w:val="9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青山区住房和城乡建设局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4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 2025年2月12日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387350</wp:posOffset>
                </wp:positionV>
                <wp:extent cx="5819140" cy="317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140" cy="3175"/>
                        </a:xfrm>
                        <a:prstGeom prst="line">
                          <a:avLst/>
                        </a:prstGeom>
                        <a:ln w="444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30.5pt;height:0.25pt;width:458.2pt;z-index:251660288;mso-width-relative:page;mso-height-relative:page;" filled="f" stroked="t" coordsize="21600,21600" o:gfxdata="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3TdlXWAAAACAEAAA8AAAAA&#10;AAAAAQAgAAAAIgAAAGRycy9kb3ducmV2LnhtbFBLAQIUABQAAAAIAIdO4kBJqXtS3QEAAJkDAAAO&#10;AAAAAAAAAAEAIAAAACUBAABkcnMvZTJvRG9jLnhtbFBLBQYAAAAABgAGAFkBAAB0BQAAAAA=&#10;">
                <v:fill on="f" focussize="0,0"/>
                <v:stroke weight="0.34976377952755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53340</wp:posOffset>
                </wp:positionV>
                <wp:extent cx="5810250" cy="12700"/>
                <wp:effectExtent l="0" t="4445" r="0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12700"/>
                        </a:xfrm>
                        <a:prstGeom prst="line">
                          <a:avLst/>
                        </a:prstGeom>
                        <a:ln w="444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4.2pt;height:1pt;width:457.5pt;z-index:251659264;mso-width-relative:page;mso-height-relative:page;" filled="f" stroked="t" coordsize="21600,21600" o:gfxdata="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duLOd1QAAAAcBAAAPAAAA&#10;AAAAAAEAIAAAACIAAABkcnMvZG93bnJldi54bWxQSwECFAAUAAAACACHTuJAb8ZiYt8BAACcAwAA&#10;DgAAAAAAAAABACAAAAAkAQAAZHJzL2Uyb0RvYy54bWxQSwUGAAAAAAYABgBZAQAAdQUAAAAA&#10;">
                <v:fill on="f" focussize="0,0"/>
                <v:stroke weight="0.34976377952755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青山区住房和城乡建设局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EF1AD-1E9D-4D92-BCFE-2006B33B35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291C3C2-CD90-4486-9222-C9013F45659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82EA71B-9A18-4F7C-8D08-BB33DBA29331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4" w:fontKey="{39D8A24E-5BFB-4A00-BF01-94D6AE61520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新蒂唐朝体">
    <w:panose1 w:val="02000500000000000000"/>
    <w:charset w:val="86"/>
    <w:family w:val="auto"/>
    <w:pitch w:val="default"/>
    <w:sig w:usb0="800000A7" w:usb1="5000004A" w:usb2="00000000" w:usb3="00000000" w:csb0="001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C7AA6CFB-436D-400C-A52E-A09F1594D9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73BFD7D-DCF5-47A5-958E-63A5EF5A2B1C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MGM0OTRiNTAxOTllMzJkNWE1NTAzYTA0YjVlODkifQ=="/>
  </w:docVars>
  <w:rsids>
    <w:rsidRoot w:val="00000000"/>
    <w:rsid w:val="038C7D19"/>
    <w:rsid w:val="04A22F2C"/>
    <w:rsid w:val="06A37EE0"/>
    <w:rsid w:val="08CD60B6"/>
    <w:rsid w:val="0A971748"/>
    <w:rsid w:val="0C0613C4"/>
    <w:rsid w:val="0EAF071F"/>
    <w:rsid w:val="0F7C2CF7"/>
    <w:rsid w:val="0FB32491"/>
    <w:rsid w:val="100B23F5"/>
    <w:rsid w:val="100D1BA1"/>
    <w:rsid w:val="115F467E"/>
    <w:rsid w:val="11FC011F"/>
    <w:rsid w:val="12170AB5"/>
    <w:rsid w:val="142B6A9A"/>
    <w:rsid w:val="159D5775"/>
    <w:rsid w:val="16174A58"/>
    <w:rsid w:val="1B085F0A"/>
    <w:rsid w:val="1BA965EF"/>
    <w:rsid w:val="1BC33A5C"/>
    <w:rsid w:val="1E933BB9"/>
    <w:rsid w:val="1EFF2FFD"/>
    <w:rsid w:val="1FFE32CF"/>
    <w:rsid w:val="2001516D"/>
    <w:rsid w:val="21655380"/>
    <w:rsid w:val="233B65CE"/>
    <w:rsid w:val="233C445C"/>
    <w:rsid w:val="26583EBF"/>
    <w:rsid w:val="273237C9"/>
    <w:rsid w:val="27BB2906"/>
    <w:rsid w:val="3034062C"/>
    <w:rsid w:val="305E2609"/>
    <w:rsid w:val="30F93D50"/>
    <w:rsid w:val="310040AF"/>
    <w:rsid w:val="34557417"/>
    <w:rsid w:val="366C6D72"/>
    <w:rsid w:val="37F565A7"/>
    <w:rsid w:val="382235C6"/>
    <w:rsid w:val="397918A6"/>
    <w:rsid w:val="39F07CBA"/>
    <w:rsid w:val="3A5D4394"/>
    <w:rsid w:val="3B506C62"/>
    <w:rsid w:val="40632F94"/>
    <w:rsid w:val="41B575FE"/>
    <w:rsid w:val="42E83C24"/>
    <w:rsid w:val="43000174"/>
    <w:rsid w:val="478163F5"/>
    <w:rsid w:val="4A3459A1"/>
    <w:rsid w:val="4CD124FE"/>
    <w:rsid w:val="4CE23492"/>
    <w:rsid w:val="4CE76CFB"/>
    <w:rsid w:val="4F011818"/>
    <w:rsid w:val="55CE7E88"/>
    <w:rsid w:val="56411B07"/>
    <w:rsid w:val="58873140"/>
    <w:rsid w:val="59BF7622"/>
    <w:rsid w:val="5C6F1657"/>
    <w:rsid w:val="5CBA7F88"/>
    <w:rsid w:val="601125AA"/>
    <w:rsid w:val="64B259E8"/>
    <w:rsid w:val="65CB6D62"/>
    <w:rsid w:val="66FE4F15"/>
    <w:rsid w:val="696A2080"/>
    <w:rsid w:val="6DD2107D"/>
    <w:rsid w:val="6F7E4E45"/>
    <w:rsid w:val="75E017C4"/>
    <w:rsid w:val="7C831CEC"/>
    <w:rsid w:val="7E046E5D"/>
    <w:rsid w:val="7EEA285A"/>
    <w:rsid w:val="7FA444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B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4">
    <w:name w:val="index 8"/>
    <w:basedOn w:val="1"/>
    <w:next w:val="1"/>
    <w:qFormat/>
    <w:uiPriority w:val="0"/>
    <w:pPr>
      <w:tabs>
        <w:tab w:val="left" w:pos="540"/>
        <w:tab w:val="left" w:pos="900"/>
      </w:tabs>
      <w:jc w:val="center"/>
    </w:pPr>
    <w:rPr>
      <w:rFonts w:cs="宋体"/>
      <w:color w:val="000000"/>
      <w:sz w:val="32"/>
      <w:szCs w:val="32"/>
    </w:rPr>
  </w:style>
  <w:style w:type="paragraph" w:styleId="5">
    <w:name w:val="Body Text"/>
    <w:basedOn w:val="1"/>
    <w:qFormat/>
    <w:uiPriority w:val="1"/>
    <w:pPr>
      <w:ind w:left="100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508</Characters>
  <Lines>0</Lines>
  <Paragraphs>0</Paragraphs>
  <ScaleCrop>false</ScaleCrop>
  <LinksUpToDate>false</LinksUpToDate>
  <CharactersWithSpaces>561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2024-09-05T08:13:00Z</dcterms:created>
  <dc:creator>admin</dc:creator>
  <cp:lastModifiedBy>Administrator</cp:lastModifiedBy>
  <cp:lastPrinted>2025-02-13T03:38:38Z</cp:lastPrinted>
  <dcterms:modified xsi:type="dcterms:W3CDTF">2025-02-13T03:38:41Z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B84050D272124335B507E0BBF144CA25_13</vt:lpwstr>
  </property>
  <property fmtid="{D5CDD505-2E9C-101B-9397-08002B2CF9AE}" pid="4" name="KSOTemplateDocerSaveRecord">
    <vt:lpwstr>eyJoZGlkIjoiNjk2YjZlYWY5YTcwYTUxMDBmMWNkMDRlMmJmOGIyM2MiLCJ1c2VySWQiOiIzODQxOTM1MTkifQ==</vt:lpwstr>
  </property>
</Properties>
</file>