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2B217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包府办发〔2021〕1号</w:t>
      </w:r>
    </w:p>
    <w:p w14:paraId="1483AD3D">
      <w:pPr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5F6C2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  <w:lang w:val="en-US" w:eastAsia="zh-CN"/>
        </w:rPr>
        <w:t>包头市人民政府办公室关于印发包头市坚决制止耕地“非农化”行为实施方案的通知</w:t>
      </w:r>
    </w:p>
    <w:p w14:paraId="64D4E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2"/>
          <w:szCs w:val="42"/>
          <w:lang w:val="en-US" w:eastAsia="zh-CN"/>
        </w:rPr>
      </w:pPr>
      <w:bookmarkStart w:id="0" w:name="_GoBack"/>
      <w:bookmarkEnd w:id="0"/>
    </w:p>
    <w:p w14:paraId="4CDE9C63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各旗、县、区人民政府，稀土高新区管委会，市直有关部门、单位：</w:t>
      </w:r>
    </w:p>
    <w:p w14:paraId="41D6F91E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经市人民政府同意，现将《包头市坚决制止耕地“非农化”行为实施方案》印发给你们，请结合工作实际，认真贯彻执行。</w:t>
      </w:r>
    </w:p>
    <w:p w14:paraId="5A6328AD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​</w:t>
      </w:r>
    </w:p>
    <w:p w14:paraId="2072C438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0"/>
        <w:jc w:val="right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2021年1月6日</w:t>
      </w:r>
    </w:p>
    <w:p w14:paraId="46269BBB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（此件公开发布）</w:t>
      </w:r>
    </w:p>
    <w:p w14:paraId="48DBD415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148B4C78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包头市坚决制止耕地“非农化”行为实施方案</w:t>
      </w:r>
    </w:p>
    <w:p w14:paraId="3C7302F0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center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7497CDE0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为认真贯彻落实《国务院办公厅关于坚决制止耕地“非农化”行为的通知》（国办发明电〔2020〕24号），以下简称《通知》）和《内蒙古自治区人民政府办公厅关于印发自治区坚决制止耕地“非农化”实施方案的通知》（内政办发〔2020〕36号，以下简称《方案》）精神，坚决制止各类耕地“非农化”行为，严守耕地红线和粮食安全底线，结合我市实际，制定本方案。</w:t>
      </w:r>
    </w:p>
    <w:p w14:paraId="2DC936A7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一、提高政治站位，切实担负起耕地保护的职责使命</w:t>
      </w:r>
    </w:p>
    <w:p w14:paraId="356F03A3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各地区、各部门要增强“四个意识”、坚定“四个自信”、做到“两个维护”，深入贯彻习近平总书记关于严格耕地保护的系列重要指示批示精神，认真落实党中央、国务院决策部署和自治区工作安排，深刻认识严格耕地保护、坚决制止耕地“非农化”的极端重要性，进一步增强工作责任感、使命感，强化底线思维，突出问题导向，坚持依法行政，着力加强耕地数量、质量、生态“三位一体”保护和永久基本农田特殊保护，坚决守住耕地保护红线。</w:t>
      </w:r>
    </w:p>
    <w:p w14:paraId="5E90027A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二、认真履职尽责，扎实推动耕地保护各项任务落实</w:t>
      </w:r>
    </w:p>
    <w:p w14:paraId="7AAFD051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一是各地区要排查摸清耕地“非农化”底数。要对照“六个严禁”，结合《自治区耕地“非农化”情况统计表》和《绿色通道占用耕地情况表》，开展全面自查，摸清底数、掌握情况，分清类型，对发现的问题立即进行整改。二是各地区要坚决制止新增耕地“非农化”行为。对违反《通知》规定的行为要立即纠正，坚决遏制新增问题发生，构建早发现、早制止、早查处的常态化监控机制，将违法违规行为遏制在萌芽状态，严厉打击破坏耕地行为，“零容忍”查处新增问题。</w:t>
      </w:r>
    </w:p>
    <w:p w14:paraId="27156DE8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三、加强组织领导，确保耕地保护工作落实到位</w:t>
      </w:r>
    </w:p>
    <w:p w14:paraId="2653EFEF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市自然资源局、市农牧局、市林草局成立包头市坚决制止耕地“非农化”行为工作推进领导小组，负责统筹推进全市制止耕地“非农化”行为工作，领导小组办公室设在市自然资源局。各地区、各部门要严格按照《通知》《方案》要求和《包头市坚决制止耕地“非农化”行为任务分工方案》（见附件1）明确的职责分工，建立健全制度机制，压紧压实工作责任，采取有效措施，指导督促本地区、本行业落实耕地保护责任，依法依规节约集约用地，坚决制止各类耕地“非农化”行为。市自然资源局、农牧局要共同承担耕地保护工作，通过全域国土综合整治和高标准农田建设等提升耕地质量，提高粮食产能，鼓励闲置耕地进行土地流转。市林草局要合理制定生态建设目标，科学开展自然保护地整合优化，坚决制止违规占用耕地绿化造林。市发改、工信、住建、生态环境、交通运输、水务等部门要各司其职，指导各地在项目规划、设计、施工阶段，尽量不占或少占耕地，避让永久基本农田，切实保护耕地。</w:t>
      </w:r>
    </w:p>
    <w:p w14:paraId="4472F454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0075DF3C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附件：</w:t>
      </w: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1．包头市坚决制止耕地“非农化”行为任务分工方案</w:t>
      </w:r>
    </w:p>
    <w:p w14:paraId="72F8C362">
      <w:pPr>
        <w:pStyle w:val="2"/>
        <w:keepNext w:val="0"/>
        <w:keepLines w:val="0"/>
        <w:widowControl/>
        <w:suppressLineNumbers w:val="0"/>
        <w:spacing w:before="96" w:beforeAutospacing="0" w:after="96" w:afterAutospacing="0" w:line="420" w:lineRule="atLeast"/>
        <w:ind w:left="0" w:firstLine="420"/>
        <w:jc w:val="both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  <w:t>      2．包头市坚决制止耕地“非农化”行为工作推进领导小组成员名单</w:t>
      </w:r>
    </w:p>
    <w:p w14:paraId="47777F33"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65803D53"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p w14:paraId="738E891B">
      <w:pPr>
        <w:rPr>
          <w:rFonts w:hint="eastAsia" w:ascii="Times New Roman" w:hAnsi="Times New Roman" w:eastAsia="仿宋_GB2312" w:cs="仿宋_GB2312"/>
          <w:snapToGrid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83DE5"/>
    <w:rsid w:val="37B83DE5"/>
    <w:rsid w:val="46B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spacing w:before="100" w:beforeAutospacing="1" w:after="100" w:afterAutospacing="1"/>
      <w:ind w:left="420" w:left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2026-05-20T08:54:00Z</dcterms:created>
  <dc:creator>WPS</dc:creator>
  <cp:lastModifiedBy>WPS</cp:lastModifiedBy>
  <dcterms:modified xsi:type="dcterms:W3CDTF">2026-05-20T08:55:11Z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B2AB08B78D0F442EA3FC546A8C83D890_11</vt:lpwstr>
  </property>
  <property fmtid="{D5CDD505-2E9C-101B-9397-08002B2CF9AE}" pid="4" name="KSOTemplateDocerSaveRecord">
    <vt:lpwstr>eyJoZGlkIjoiM2I1MGI0YWMyYWZkNjRmMjc4MjNlOTM3OWYzZmI4MWIiLCJ1c2VySWQiOiIxMzIzOTE2NDQyIn0=</vt:lpwstr>
  </property>
</Properties>
</file>