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B5DA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hint="default" w:ascii="Times New Roman" w:hAnsi="Times New Roman" w:eastAsia="仿宋_GB2312" w:cs="Times New Roman"/>
          <w:b w:val="0"/>
          <w:bCs w:val="0"/>
          <w:color w:val="3E3E3E"/>
          <w:sz w:val="30"/>
          <w:szCs w:val="30"/>
          <w:lang w:val="en-US"/>
        </w:rPr>
      </w:pPr>
      <w:bookmarkStart w:id="1" w:name="_GoBack"/>
      <w:bookmarkEnd w:id="1"/>
      <w:bookmarkStart w:id="0" w:name="OLE_LINK1"/>
    </w:p>
    <w:p w14:paraId="0398EF5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hint="default" w:ascii="Times New Roman" w:hAnsi="Times New Roman" w:eastAsia="仿宋_GB2312" w:cs="Times New Roman"/>
          <w:b w:val="0"/>
          <w:bCs w:val="0"/>
          <w:color w:val="3E3E3E"/>
          <w:sz w:val="30"/>
          <w:szCs w:val="30"/>
          <w:lang w:val="en-US"/>
        </w:rPr>
      </w:pPr>
    </w:p>
    <w:p w14:paraId="637EA78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hint="default" w:ascii="Times New Roman" w:hAnsi="Times New Roman" w:eastAsia="仿宋_GB2312" w:cs="Times New Roman"/>
          <w:b w:val="0"/>
          <w:bCs w:val="0"/>
          <w:color w:val="3E3E3E"/>
          <w:sz w:val="30"/>
          <w:szCs w:val="30"/>
          <w:lang w:val="en-US"/>
        </w:rPr>
      </w:pPr>
    </w:p>
    <w:p w14:paraId="4518A1E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hint="default" w:ascii="Times New Roman" w:hAnsi="Times New Roman" w:eastAsia="仿宋_GB2312" w:cs="Times New Roman"/>
          <w:b w:val="0"/>
          <w:bCs w:val="0"/>
          <w:color w:val="3E3E3E"/>
          <w:sz w:val="30"/>
          <w:szCs w:val="30"/>
          <w:lang w:val="en-US"/>
        </w:rPr>
      </w:pPr>
    </w:p>
    <w:p w14:paraId="4AE81B3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hint="default" w:ascii="Times New Roman" w:hAnsi="Times New Roman" w:eastAsia="仿宋_GB2312" w:cs="Times New Roman"/>
          <w:b w:val="0"/>
          <w:bCs w:val="0"/>
          <w:color w:val="3E3E3E"/>
          <w:sz w:val="30"/>
          <w:szCs w:val="30"/>
          <w:lang w:val="en-US"/>
        </w:rPr>
      </w:pPr>
    </w:p>
    <w:p w14:paraId="069C89D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hint="default" w:ascii="Times New Roman" w:hAnsi="Times New Roman" w:eastAsia="仿宋_GB2312" w:cs="Times New Roman"/>
          <w:b w:val="0"/>
          <w:bCs w:val="0"/>
          <w:color w:val="3E3E3E"/>
          <w:sz w:val="30"/>
          <w:szCs w:val="30"/>
          <w:lang w:val="en-US"/>
        </w:rPr>
      </w:pPr>
    </w:p>
    <w:p w14:paraId="3F0608D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hint="default" w:ascii="Times New Roman" w:hAnsi="Times New Roman" w:eastAsia="仿宋_GB2312" w:cs="Times New Roman"/>
          <w:b w:val="0"/>
          <w:bCs w:val="0"/>
          <w:color w:val="3E3E3E"/>
          <w:sz w:val="30"/>
          <w:szCs w:val="30"/>
          <w:lang w:val="en-US"/>
        </w:rPr>
      </w:pPr>
    </w:p>
    <w:p w14:paraId="6DD10E4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hint="default" w:ascii="Times New Roman" w:hAnsi="Times New Roman" w:eastAsia="仿宋_GB2312" w:cs="Times New Roman"/>
          <w:b w:val="0"/>
          <w:bCs w:val="0"/>
          <w:color w:val="3E3E3E"/>
          <w:sz w:val="30"/>
          <w:szCs w:val="30"/>
          <w:lang w:val="en-US"/>
        </w:rPr>
      </w:pPr>
    </w:p>
    <w:p w14:paraId="31F185E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hint="default" w:ascii="Times New Roman" w:hAnsi="Times New Roman" w:eastAsia="仿宋_GB2312" w:cs="Times New Roman"/>
          <w:b w:val="0"/>
          <w:bCs w:val="0"/>
          <w:color w:val="3E3E3E"/>
          <w:sz w:val="30"/>
          <w:szCs w:val="30"/>
          <w:lang w:val="en-US"/>
        </w:rPr>
      </w:pPr>
    </w:p>
    <w:p w14:paraId="2CA8B60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hint="default" w:ascii="Times New Roman" w:hAnsi="Times New Roman" w:eastAsia="仿宋_GB2312" w:cs="Times New Roman"/>
          <w:b w:val="0"/>
          <w:bCs w:val="0"/>
          <w:color w:val="3E3E3E"/>
          <w:sz w:val="30"/>
          <w:szCs w:val="30"/>
          <w:lang w:val="en-US"/>
        </w:rPr>
      </w:pPr>
    </w:p>
    <w:p w14:paraId="7642A6E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hint="eastAsia" w:ascii="Times New Roman" w:hAnsi="Times New Roman" w:eastAsia="楷体_GB2312" w:cs="楷体_GB2312"/>
          <w:b w:val="0"/>
          <w:bCs w:val="0"/>
          <w:sz w:val="30"/>
          <w:szCs w:val="30"/>
          <w:lang w:val="en-US"/>
        </w:rPr>
      </w:pPr>
      <w:r>
        <w:rPr>
          <w:rFonts w:hint="eastAsia" w:ascii="Times New Roman" w:hAnsi="Times New Roman" w:eastAsia="楷体_GB2312" w:cs="楷体_GB2312"/>
          <w:b w:val="0"/>
          <w:bCs w:val="0"/>
          <w:kern w:val="2"/>
          <w:sz w:val="30"/>
          <w:szCs w:val="30"/>
          <w:lang w:val="en-US" w:eastAsia="zh-CN" w:bidi="ar"/>
        </w:rPr>
        <w:t>包府发〔2022〕20号</w:t>
      </w:r>
    </w:p>
    <w:p w14:paraId="12980F9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z w:val="42"/>
          <w:szCs w:val="42"/>
          <w:lang w:val="en-US"/>
        </w:rPr>
      </w:pPr>
    </w:p>
    <w:p w14:paraId="66BD970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z w:val="42"/>
          <w:szCs w:val="42"/>
          <w:lang w:val="en-US"/>
        </w:rPr>
      </w:pPr>
    </w:p>
    <w:p w14:paraId="0AE8817C">
      <w:pPr>
        <w:pStyle w:val="5"/>
        <w:keepNext w:val="0"/>
        <w:keepLines w:val="0"/>
        <w:pageBreakBefore w:val="0"/>
        <w:kinsoku/>
        <w:wordWrap/>
        <w:overflowPunct/>
        <w:topLinePunct w:val="0"/>
        <w:autoSpaceDE/>
        <w:autoSpaceDN w:val="0"/>
        <w:bidi w:val="0"/>
        <w:adjustRightInd/>
        <w:snapToGrid w:val="0"/>
        <w:spacing w:line="500" w:lineRule="exact"/>
        <w:ind w:left="0" w:leftChars="0" w:right="0" w:rightChars="0" w:firstLine="0" w:firstLineChars="0"/>
        <w:jc w:val="center"/>
        <w:textAlignment w:val="auto"/>
        <w:outlineLvl w:val="9"/>
        <w:rPr>
          <w:rFonts w:hint="eastAsia" w:ascii="Times New Roman" w:hAnsi="Times New Roman" w:eastAsia="方正小标宋简体" w:cs="方正小标宋简体"/>
          <w:b w:val="0"/>
          <w:bCs w:val="0"/>
          <w:color w:val="auto"/>
          <w:spacing w:val="0"/>
          <w:sz w:val="42"/>
          <w:szCs w:val="42"/>
          <w:u w:val="none"/>
        </w:rPr>
      </w:pPr>
      <w:r>
        <w:rPr>
          <w:rFonts w:hint="eastAsia" w:ascii="Times New Roman" w:hAnsi="Times New Roman" w:eastAsia="方正小标宋简体" w:cs="方正小标宋简体"/>
          <w:b w:val="0"/>
          <w:bCs w:val="0"/>
          <w:color w:val="auto"/>
          <w:spacing w:val="0"/>
          <w:sz w:val="42"/>
          <w:szCs w:val="42"/>
          <w:u w:val="none"/>
        </w:rPr>
        <w:t>包头市人民政府</w:t>
      </w:r>
    </w:p>
    <w:p w14:paraId="66014A48">
      <w:pPr>
        <w:keepNext w:val="0"/>
        <w:keepLines w:val="0"/>
        <w:pageBreakBefore w:val="0"/>
        <w:kinsoku/>
        <w:wordWrap/>
        <w:overflowPunct/>
        <w:topLinePunct w:val="0"/>
        <w:autoSpaceDE/>
        <w:bidi w:val="0"/>
        <w:adjustRightInd/>
        <w:spacing w:line="500" w:lineRule="exact"/>
        <w:ind w:left="0" w:leftChars="0" w:right="0" w:rightChars="0" w:firstLine="0" w:firstLineChars="0"/>
        <w:jc w:val="center"/>
        <w:textAlignment w:val="auto"/>
        <w:outlineLvl w:val="9"/>
        <w:rPr>
          <w:rFonts w:hint="eastAsia" w:ascii="Times New Roman" w:hAnsi="Times New Roman" w:eastAsia="方正小标宋简体" w:cs="方正小标宋简体"/>
          <w:b w:val="0"/>
          <w:bCs w:val="0"/>
          <w:color w:val="auto"/>
          <w:spacing w:val="0"/>
          <w:kern w:val="0"/>
          <w:sz w:val="42"/>
          <w:szCs w:val="42"/>
          <w:u w:val="none"/>
          <w:lang w:val="en-US" w:eastAsia="zh-CN" w:bidi="ar-SA"/>
        </w:rPr>
      </w:pPr>
      <w:r>
        <w:rPr>
          <w:rFonts w:hint="eastAsia" w:ascii="Times New Roman" w:hAnsi="Times New Roman" w:eastAsia="方正小标宋简体" w:cs="方正小标宋简体"/>
          <w:b w:val="0"/>
          <w:bCs w:val="0"/>
          <w:color w:val="auto"/>
          <w:spacing w:val="0"/>
          <w:kern w:val="0"/>
          <w:sz w:val="42"/>
          <w:szCs w:val="42"/>
          <w:u w:val="none"/>
          <w:lang w:val="en-US" w:eastAsia="zh-CN" w:bidi="ar-SA"/>
        </w:rPr>
        <w:t>关于印发包头市生产安全事故</w:t>
      </w:r>
    </w:p>
    <w:p w14:paraId="37C32A2E">
      <w:pPr>
        <w:keepNext w:val="0"/>
        <w:keepLines w:val="0"/>
        <w:pageBreakBefore w:val="0"/>
        <w:kinsoku/>
        <w:wordWrap/>
        <w:overflowPunct/>
        <w:topLinePunct w:val="0"/>
        <w:autoSpaceDE/>
        <w:bidi w:val="0"/>
        <w:adjustRightInd/>
        <w:spacing w:line="500" w:lineRule="exact"/>
        <w:ind w:left="0" w:leftChars="0" w:right="0" w:rightChars="0" w:firstLine="0" w:firstLineChars="0"/>
        <w:jc w:val="center"/>
        <w:textAlignment w:val="auto"/>
        <w:outlineLvl w:val="9"/>
        <w:rPr>
          <w:rFonts w:hint="eastAsia" w:ascii="Times New Roman" w:hAnsi="Times New Roman" w:eastAsia="方正小标宋简体" w:cs="方正小标宋简体"/>
          <w:b w:val="0"/>
          <w:bCs w:val="0"/>
          <w:sz w:val="42"/>
          <w:szCs w:val="42"/>
          <w:lang w:val="en-US" w:eastAsia="zh-CN"/>
        </w:rPr>
      </w:pPr>
      <w:r>
        <w:rPr>
          <w:rFonts w:hint="eastAsia" w:ascii="Times New Roman" w:hAnsi="Times New Roman" w:eastAsia="方正小标宋简体" w:cs="方正小标宋简体"/>
          <w:b w:val="0"/>
          <w:bCs w:val="0"/>
          <w:color w:val="auto"/>
          <w:spacing w:val="0"/>
          <w:kern w:val="0"/>
          <w:sz w:val="42"/>
          <w:szCs w:val="42"/>
          <w:u w:val="none"/>
          <w:lang w:val="en-US" w:eastAsia="zh-CN" w:bidi="ar-SA"/>
        </w:rPr>
        <w:t>隐患排查治理办法（试行）的通知</w:t>
      </w:r>
    </w:p>
    <w:bookmarkEnd w:id="0"/>
    <w:p w14:paraId="21E46CA3">
      <w:pPr>
        <w:pStyle w:val="5"/>
        <w:keepNext w:val="0"/>
        <w:keepLines w:val="0"/>
        <w:pageBreakBefore w:val="0"/>
        <w:widowControl/>
        <w:kinsoku/>
        <w:wordWrap/>
        <w:overflowPunct/>
        <w:topLinePunct w:val="0"/>
        <w:autoSpaceDE/>
        <w:autoSpaceDN w:val="0"/>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仿宋_GB2312" w:cs="仿宋_GB2312"/>
          <w:b w:val="0"/>
          <w:bCs w:val="0"/>
          <w:color w:val="auto"/>
          <w:sz w:val="30"/>
          <w:szCs w:val="30"/>
          <w:u w:val="none"/>
        </w:rPr>
      </w:pPr>
    </w:p>
    <w:p w14:paraId="6FBC3959">
      <w:pPr>
        <w:pStyle w:val="5"/>
        <w:keepNext w:val="0"/>
        <w:keepLines w:val="0"/>
        <w:pageBreakBefore w:val="0"/>
        <w:kinsoku/>
        <w:wordWrap/>
        <w:overflowPunct/>
        <w:topLinePunct w:val="0"/>
        <w:autoSpaceDE/>
        <w:autoSpaceDN w:val="0"/>
        <w:bidi w:val="0"/>
        <w:adjustRightInd/>
        <w:snapToGrid/>
        <w:spacing w:line="400" w:lineRule="exact"/>
        <w:ind w:left="0" w:leftChars="0" w:right="0" w:rightChars="0" w:firstLine="0" w:firstLineChars="0"/>
        <w:jc w:val="both"/>
        <w:textAlignment w:val="auto"/>
        <w:outlineLvl w:val="9"/>
        <w:rPr>
          <w:rFonts w:hint="eastAsia" w:ascii="Times New Roman" w:hAnsi="Times New Roman" w:eastAsia="楷体_GB2312" w:cs="楷体_GB2312"/>
          <w:b w:val="0"/>
          <w:bCs w:val="0"/>
          <w:color w:val="auto"/>
          <w:sz w:val="30"/>
          <w:szCs w:val="30"/>
          <w:u w:val="none"/>
        </w:rPr>
      </w:pPr>
      <w:r>
        <w:rPr>
          <w:rFonts w:hint="eastAsia" w:ascii="Times New Roman" w:hAnsi="Times New Roman" w:eastAsia="楷体_GB2312" w:cs="楷体_GB2312"/>
          <w:b w:val="0"/>
          <w:bCs w:val="0"/>
          <w:color w:val="auto"/>
          <w:sz w:val="30"/>
          <w:szCs w:val="30"/>
          <w:u w:val="none"/>
        </w:rPr>
        <w:t>各旗、县、区人民政府，稀土高新区管委会，市直有关部门、单位</w:t>
      </w:r>
      <w:r>
        <w:rPr>
          <w:rFonts w:hint="eastAsia" w:ascii="Times New Roman" w:hAnsi="Times New Roman" w:eastAsia="楷体_GB2312" w:cs="楷体_GB2312"/>
          <w:b w:val="0"/>
          <w:bCs w:val="0"/>
          <w:color w:val="auto"/>
          <w:sz w:val="30"/>
          <w:szCs w:val="30"/>
          <w:u w:val="none"/>
          <w:lang w:eastAsia="zh-CN"/>
        </w:rPr>
        <w:t>，中直、区直企事业单位</w:t>
      </w:r>
      <w:r>
        <w:rPr>
          <w:rFonts w:hint="eastAsia" w:ascii="Times New Roman" w:hAnsi="Times New Roman" w:eastAsia="楷体_GB2312" w:cs="楷体_GB2312"/>
          <w:b w:val="0"/>
          <w:bCs w:val="0"/>
          <w:color w:val="auto"/>
          <w:sz w:val="30"/>
          <w:szCs w:val="30"/>
          <w:u w:val="none"/>
        </w:rPr>
        <w:t>：</w:t>
      </w:r>
    </w:p>
    <w:p w14:paraId="373D338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00" w:firstLineChars="200"/>
        <w:jc w:val="both"/>
        <w:textAlignment w:val="auto"/>
        <w:outlineLvl w:val="9"/>
        <w:rPr>
          <w:rFonts w:hint="eastAsia" w:ascii="Times New Roman" w:hAnsi="Times New Roman" w:eastAsia="楷体_GB2312" w:cs="楷体_GB2312"/>
          <w:b w:val="0"/>
          <w:bCs w:val="0"/>
          <w:sz w:val="30"/>
          <w:szCs w:val="30"/>
          <w:u w:val="none"/>
          <w:lang w:eastAsia="zh-CN"/>
        </w:rPr>
      </w:pPr>
      <w:r>
        <w:rPr>
          <w:rFonts w:hint="eastAsia" w:ascii="Times New Roman" w:hAnsi="Times New Roman" w:eastAsia="楷体_GB2312" w:cs="楷体_GB2312"/>
          <w:b w:val="0"/>
          <w:bCs w:val="0"/>
          <w:sz w:val="30"/>
          <w:szCs w:val="30"/>
          <w:u w:val="none"/>
          <w:lang w:eastAsia="zh-CN"/>
        </w:rPr>
        <w:t>经市委十三届第</w:t>
      </w:r>
      <w:r>
        <w:rPr>
          <w:rFonts w:hint="eastAsia" w:ascii="Times New Roman" w:hAnsi="Times New Roman" w:eastAsia="楷体_GB2312" w:cs="楷体_GB2312"/>
          <w:b w:val="0"/>
          <w:bCs w:val="0"/>
          <w:sz w:val="30"/>
          <w:szCs w:val="30"/>
          <w:u w:val="none"/>
          <w:lang w:val="en-US" w:eastAsia="zh-CN"/>
        </w:rPr>
        <w:t>33次常委会议审议通过，现将《包头市生产安全事故隐患排查治理办法（试行）》</w:t>
      </w:r>
      <w:r>
        <w:rPr>
          <w:rFonts w:hint="eastAsia" w:ascii="Times New Roman" w:hAnsi="Times New Roman" w:eastAsia="楷体_GB2312" w:cs="楷体_GB2312"/>
          <w:b w:val="0"/>
          <w:bCs w:val="0"/>
          <w:sz w:val="30"/>
          <w:szCs w:val="30"/>
          <w:u w:val="none"/>
          <w:lang w:eastAsia="zh-CN"/>
        </w:rPr>
        <w:t>印发给你们，请结合实际，认真贯彻落实。</w:t>
      </w:r>
    </w:p>
    <w:p w14:paraId="251F48BC">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both"/>
        <w:textAlignment w:val="auto"/>
        <w:outlineLvl w:val="9"/>
        <w:rPr>
          <w:rFonts w:hint="eastAsia" w:ascii="Times New Roman" w:hAnsi="Times New Roman" w:eastAsia="楷体_GB2312" w:cs="楷体_GB2312"/>
          <w:b w:val="0"/>
          <w:bCs w:val="0"/>
          <w:sz w:val="30"/>
          <w:szCs w:val="30"/>
          <w:u w:val="none"/>
          <w:lang w:eastAsia="zh-CN"/>
        </w:rPr>
      </w:pPr>
    </w:p>
    <w:p w14:paraId="56A55226">
      <w:pPr>
        <w:keepNext w:val="0"/>
        <w:keepLines w:val="0"/>
        <w:pageBreakBefore w:val="0"/>
        <w:widowControl w:val="0"/>
        <w:tabs>
          <w:tab w:val="left" w:pos="7500"/>
          <w:tab w:val="left" w:pos="7800"/>
        </w:tabs>
        <w:kinsoku/>
        <w:wordWrap/>
        <w:overflowPunct/>
        <w:topLinePunct w:val="0"/>
        <w:autoSpaceDE/>
        <w:autoSpaceDN/>
        <w:bidi w:val="0"/>
        <w:adjustRightInd/>
        <w:snapToGrid/>
        <w:spacing w:line="400" w:lineRule="exact"/>
        <w:ind w:left="0" w:leftChars="0" w:right="0" w:rightChars="0" w:firstLine="600" w:firstLineChars="200"/>
        <w:jc w:val="both"/>
        <w:textAlignment w:val="auto"/>
        <w:outlineLvl w:val="9"/>
        <w:rPr>
          <w:rFonts w:hint="eastAsia" w:ascii="Times New Roman" w:hAnsi="Times New Roman" w:eastAsia="楷体_GB2312" w:cs="楷体_GB2312"/>
          <w:b w:val="0"/>
          <w:bCs w:val="0"/>
          <w:sz w:val="30"/>
          <w:szCs w:val="30"/>
          <w:u w:val="none"/>
          <w:lang w:val="en-US" w:eastAsia="zh-CN"/>
        </w:rPr>
      </w:pPr>
      <w:r>
        <w:rPr>
          <w:rFonts w:hint="eastAsia" w:ascii="Times New Roman" w:hAnsi="Times New Roman" w:eastAsia="楷体_GB2312" w:cs="楷体_GB2312"/>
          <w:b w:val="0"/>
          <w:bCs w:val="0"/>
          <w:sz w:val="30"/>
          <w:szCs w:val="30"/>
          <w:u w:val="none"/>
          <w:lang w:val="en-US" w:eastAsia="zh-CN"/>
        </w:rPr>
        <w:t xml:space="preserve">                                2022年4月11日</w:t>
      </w:r>
    </w:p>
    <w:p w14:paraId="7087C5F9">
      <w:pPr>
        <w:keepNext w:val="0"/>
        <w:keepLines w:val="0"/>
        <w:pageBreakBefore w:val="0"/>
        <w:widowControl w:val="0"/>
        <w:tabs>
          <w:tab w:val="left" w:pos="600"/>
        </w:tabs>
        <w:kinsoku/>
        <w:wordWrap/>
        <w:overflowPunct/>
        <w:topLinePunct w:val="0"/>
        <w:autoSpaceDE/>
        <w:autoSpaceDN/>
        <w:bidi w:val="0"/>
        <w:adjustRightInd/>
        <w:snapToGrid/>
        <w:spacing w:line="400" w:lineRule="exact"/>
        <w:ind w:left="0" w:leftChars="0" w:right="0" w:rightChars="0" w:firstLine="600" w:firstLineChars="200"/>
        <w:jc w:val="both"/>
        <w:textAlignment w:val="auto"/>
        <w:outlineLvl w:val="9"/>
        <w:rPr>
          <w:rFonts w:hint="eastAsia" w:ascii="Times New Roman" w:hAnsi="Times New Roman" w:eastAsia="楷体_GB2312" w:cs="楷体_GB2312"/>
          <w:b w:val="0"/>
          <w:bCs w:val="0"/>
          <w:sz w:val="30"/>
          <w:szCs w:val="30"/>
          <w:u w:val="none"/>
          <w:lang w:val="en-US" w:eastAsia="zh-CN"/>
        </w:rPr>
      </w:pPr>
      <w:r>
        <w:rPr>
          <w:rFonts w:hint="eastAsia" w:ascii="Times New Roman" w:hAnsi="Times New Roman" w:eastAsia="楷体_GB2312" w:cs="楷体_GB2312"/>
          <w:b w:val="0"/>
          <w:bCs w:val="0"/>
          <w:sz w:val="30"/>
          <w:szCs w:val="30"/>
          <w:u w:val="none"/>
          <w:lang w:val="en-US" w:eastAsia="zh-CN"/>
        </w:rPr>
        <w:t>（此件公开发布）</w:t>
      </w:r>
    </w:p>
    <w:p w14:paraId="080DBE0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color w:val="000000"/>
          <w:spacing w:val="0"/>
          <w:sz w:val="30"/>
          <w:szCs w:val="30"/>
          <w:u w:val="none"/>
          <w:lang w:eastAsia="zh-CN"/>
        </w:rPr>
      </w:pPr>
    </w:p>
    <w:p w14:paraId="39C7444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Times New Roman" w:hAnsi="Times New Roman" w:eastAsia="方正小标宋简体" w:cs="方正小标宋简体"/>
          <w:b w:val="0"/>
          <w:bCs w:val="0"/>
          <w:color w:val="000000"/>
          <w:spacing w:val="0"/>
          <w:sz w:val="42"/>
          <w:szCs w:val="42"/>
          <w:u w:val="none"/>
          <w:lang w:eastAsia="zh-CN"/>
        </w:rPr>
      </w:pPr>
      <w:r>
        <w:rPr>
          <w:rFonts w:hint="eastAsia" w:ascii="Times New Roman" w:hAnsi="Times New Roman" w:eastAsia="方正小标宋简体" w:cs="方正小标宋简体"/>
          <w:b w:val="0"/>
          <w:bCs w:val="0"/>
          <w:color w:val="000000"/>
          <w:spacing w:val="0"/>
          <w:sz w:val="42"/>
          <w:szCs w:val="42"/>
          <w:u w:val="none"/>
          <w:lang w:eastAsia="zh-CN"/>
        </w:rPr>
        <w:t>包头市生产安全事故</w:t>
      </w:r>
    </w:p>
    <w:p w14:paraId="5D4F558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Times New Roman" w:hAnsi="Times New Roman" w:eastAsia="方正小标宋简体" w:cs="方正小标宋简体"/>
          <w:b w:val="0"/>
          <w:bCs w:val="0"/>
          <w:color w:val="000000"/>
          <w:spacing w:val="0"/>
          <w:sz w:val="42"/>
          <w:szCs w:val="42"/>
          <w:u w:val="none"/>
          <w:lang w:eastAsia="zh-CN"/>
        </w:rPr>
      </w:pPr>
      <w:r>
        <w:rPr>
          <w:rFonts w:hint="eastAsia" w:ascii="Times New Roman" w:hAnsi="Times New Roman" w:eastAsia="方正小标宋简体" w:cs="方正小标宋简体"/>
          <w:b w:val="0"/>
          <w:bCs w:val="0"/>
          <w:color w:val="000000"/>
          <w:spacing w:val="0"/>
          <w:sz w:val="42"/>
          <w:szCs w:val="42"/>
          <w:u w:val="none"/>
          <w:lang w:eastAsia="zh-CN"/>
        </w:rPr>
        <w:t>隐患排查治理办法（试行）</w:t>
      </w:r>
    </w:p>
    <w:p w14:paraId="1F0C059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p>
    <w:p w14:paraId="6AFBF2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Times New Roman" w:hAnsi="Times New Roman" w:eastAsia="黑体" w:cs="黑体"/>
          <w:b w:val="0"/>
          <w:bCs w:val="0"/>
          <w:spacing w:val="0"/>
          <w:sz w:val="30"/>
          <w:szCs w:val="30"/>
          <w:u w:val="none"/>
          <w:lang w:val="en-US" w:eastAsia="zh-CN"/>
        </w:rPr>
      </w:pPr>
      <w:r>
        <w:rPr>
          <w:rFonts w:hint="eastAsia" w:ascii="Times New Roman" w:hAnsi="Times New Roman" w:eastAsia="黑体" w:cs="黑体"/>
          <w:b w:val="0"/>
          <w:bCs w:val="0"/>
          <w:spacing w:val="0"/>
          <w:sz w:val="30"/>
          <w:szCs w:val="30"/>
          <w:u w:val="none"/>
          <w:lang w:val="en-US" w:eastAsia="zh-CN"/>
        </w:rPr>
        <w:t>第一章  总  则</w:t>
      </w:r>
    </w:p>
    <w:p w14:paraId="721D196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p>
    <w:p w14:paraId="52E3485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黑体" w:cs="黑体"/>
          <w:b w:val="0"/>
          <w:bCs w:val="0"/>
          <w:spacing w:val="0"/>
          <w:sz w:val="30"/>
          <w:szCs w:val="30"/>
          <w:u w:val="none"/>
          <w:lang w:val="en-US" w:eastAsia="zh-CN"/>
        </w:rPr>
        <w:t xml:space="preserve">第一条  </w:t>
      </w:r>
      <w:r>
        <w:rPr>
          <w:rFonts w:hint="eastAsia" w:ascii="Times New Roman" w:hAnsi="Times New Roman" w:eastAsia="仿宋_GB2312" w:cs="仿宋_GB2312"/>
          <w:b w:val="0"/>
          <w:bCs w:val="0"/>
          <w:spacing w:val="0"/>
          <w:sz w:val="30"/>
          <w:szCs w:val="30"/>
          <w:u w:val="none"/>
          <w:lang w:val="en-US" w:eastAsia="zh-CN"/>
        </w:rPr>
        <w:t>为加强安全生产工作，落实事故隐患排查治理制度，预防和减少生产安全事故，保障人民群众生命财产安全，根据《中华人民共和国安全生产法》《内蒙古自治区安全生产条例》《安全生产事故隐患排查治理暂行规定》等法律法规，结合我市实际，制定本办法。</w:t>
      </w:r>
    </w:p>
    <w:p w14:paraId="7DC25A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黑体" w:cs="黑体"/>
          <w:b w:val="0"/>
          <w:bCs w:val="0"/>
          <w:spacing w:val="0"/>
          <w:sz w:val="30"/>
          <w:szCs w:val="30"/>
          <w:u w:val="none"/>
          <w:lang w:val="en-US" w:eastAsia="zh-CN"/>
        </w:rPr>
        <w:t xml:space="preserve">第二条  </w:t>
      </w:r>
      <w:r>
        <w:rPr>
          <w:rFonts w:hint="eastAsia" w:ascii="Times New Roman" w:hAnsi="Times New Roman" w:eastAsia="仿宋_GB2312" w:cs="仿宋_GB2312"/>
          <w:b w:val="0"/>
          <w:bCs w:val="0"/>
          <w:spacing w:val="0"/>
          <w:sz w:val="30"/>
          <w:szCs w:val="30"/>
          <w:u w:val="none"/>
          <w:lang w:val="en-US" w:eastAsia="zh-CN"/>
        </w:rPr>
        <w:t>本市行政区域内生产安全事故隐患的排查治理及其监督管理活动，适用本办法。法律法规另有规定的，适用其规定。</w:t>
      </w:r>
    </w:p>
    <w:p w14:paraId="44BC2E5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黑体" w:cs="黑体"/>
          <w:b w:val="0"/>
          <w:bCs w:val="0"/>
          <w:spacing w:val="0"/>
          <w:sz w:val="30"/>
          <w:szCs w:val="30"/>
          <w:u w:val="none"/>
          <w:lang w:val="en-US" w:eastAsia="zh-CN"/>
        </w:rPr>
        <w:t xml:space="preserve">第三条  </w:t>
      </w:r>
      <w:r>
        <w:rPr>
          <w:rFonts w:hint="eastAsia" w:ascii="Times New Roman" w:hAnsi="Times New Roman" w:eastAsia="仿宋_GB2312" w:cs="仿宋_GB2312"/>
          <w:b w:val="0"/>
          <w:bCs w:val="0"/>
          <w:spacing w:val="0"/>
          <w:sz w:val="30"/>
          <w:szCs w:val="30"/>
          <w:u w:val="none"/>
          <w:lang w:val="en-US" w:eastAsia="zh-CN"/>
        </w:rPr>
        <w:t>本办法所称生产安全事故隐患（以下简称事故隐患），是指生产经营单位（含平台经济等新兴行业、领域）违反安全生产法律、法规、规章、标准、规程和安全生产管理制度的规定，或者因其他因素在生产经营活动中存在可能导致事故发生的物的危险状态、人的不安全行为和管理上的缺陷。</w:t>
      </w:r>
    </w:p>
    <w:p w14:paraId="268134B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6"/>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6"/>
          <w:sz w:val="30"/>
          <w:szCs w:val="30"/>
          <w:u w:val="none"/>
          <w:lang w:val="en-US" w:eastAsia="zh-CN"/>
        </w:rPr>
        <w:t>事故隐患分为一般事故隐患和重大事故隐患。重大事故隐患的判定，按照国务院负有安全生产监督管理职责的部门制定的标准执行。</w:t>
      </w:r>
    </w:p>
    <w:p w14:paraId="53B7F8C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黑体" w:cs="黑体"/>
          <w:b w:val="0"/>
          <w:bCs w:val="0"/>
          <w:spacing w:val="0"/>
          <w:sz w:val="30"/>
          <w:szCs w:val="30"/>
          <w:u w:val="none"/>
          <w:lang w:val="en-US" w:eastAsia="zh-CN"/>
        </w:rPr>
        <w:t>第四条</w:t>
      </w: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事故隐患排查治理工作应当坚持人民至上、生命至上，实行“三管三必须”，建立生产经营单位全面排查、政府监督、行业自律、社会参与的工作机制。</w:t>
      </w:r>
    </w:p>
    <w:p w14:paraId="3BB48DA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黑体" w:cs="黑体"/>
          <w:b w:val="0"/>
          <w:bCs w:val="0"/>
          <w:spacing w:val="0"/>
          <w:sz w:val="30"/>
          <w:szCs w:val="30"/>
          <w:u w:val="none"/>
          <w:lang w:val="en-US" w:eastAsia="zh-CN"/>
        </w:rPr>
        <w:t xml:space="preserve">第五条  </w:t>
      </w:r>
      <w:r>
        <w:rPr>
          <w:rFonts w:hint="eastAsia" w:ascii="Times New Roman" w:hAnsi="Times New Roman" w:eastAsia="仿宋_GB2312" w:cs="仿宋_GB2312"/>
          <w:b w:val="0"/>
          <w:bCs w:val="0"/>
          <w:spacing w:val="0"/>
          <w:sz w:val="30"/>
          <w:szCs w:val="30"/>
          <w:u w:val="none"/>
          <w:lang w:val="en-US" w:eastAsia="zh-CN"/>
        </w:rPr>
        <w:t>生产经营单位承担事故隐患排查治理的主体责任，严格落实全员安全生产责任制。</w:t>
      </w:r>
    </w:p>
    <w:p w14:paraId="4CAF2C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生产经营单位主要负责人是本单位事故隐患排查治理的第一责任人。</w:t>
      </w:r>
    </w:p>
    <w:p w14:paraId="357F231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黑体" w:cs="黑体"/>
          <w:b w:val="0"/>
          <w:bCs w:val="0"/>
          <w:spacing w:val="0"/>
          <w:sz w:val="30"/>
          <w:szCs w:val="30"/>
          <w:u w:val="none"/>
          <w:lang w:val="en-US" w:eastAsia="zh-CN"/>
        </w:rPr>
        <w:t xml:space="preserve">第六条  </w:t>
      </w:r>
      <w:r>
        <w:rPr>
          <w:rFonts w:hint="eastAsia" w:ascii="Times New Roman" w:hAnsi="Times New Roman" w:eastAsia="仿宋_GB2312" w:cs="仿宋_GB2312"/>
          <w:b w:val="0"/>
          <w:bCs w:val="0"/>
          <w:spacing w:val="0"/>
          <w:sz w:val="30"/>
          <w:szCs w:val="30"/>
          <w:u w:val="none"/>
          <w:lang w:val="en-US" w:eastAsia="zh-CN"/>
        </w:rPr>
        <w:t>市、旗县区两级人民政府（管委会）应当加强对事故隐患排查治理工作的领导，建立健全重大事故隐患排查治理协调处置机制，实行属地监督管理与行业监督管理相结合、以属地日常监督管理为主的管理体制，及时解决事故隐患排查治理工作中存在的重大问题。</w:t>
      </w:r>
    </w:p>
    <w:p w14:paraId="7757AF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苏木乡镇人民政府、街道办事处和开发区、工业园区、物流园区、风景区、农业示范区、自然保护区、旅游度假区等功能区管理机构，按照职责对本行政区域或者管理区域内生产经营单位事故隐患排查治理情况进行监督检查，并协助上级人民政府（管委会）有关部门或者按照授权依法履行事故隐患排查治理监督管理职责。</w:t>
      </w:r>
    </w:p>
    <w:p w14:paraId="1BA4EF9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黑体" w:cs="黑体"/>
          <w:b w:val="0"/>
          <w:bCs w:val="0"/>
          <w:spacing w:val="0"/>
          <w:sz w:val="30"/>
          <w:szCs w:val="30"/>
          <w:u w:val="none"/>
          <w:lang w:val="en-US" w:eastAsia="zh-CN"/>
        </w:rPr>
        <w:t>第七条</w:t>
      </w: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市、旗县区两级人民政府（管委会）负有安全生产监督管理职责的部门按照各自职责，对有关行业、领域的事故隐患排查治理实施监督管理。</w:t>
      </w:r>
    </w:p>
    <w:p w14:paraId="280543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黑体" w:cs="黑体"/>
          <w:b w:val="0"/>
          <w:bCs w:val="0"/>
          <w:spacing w:val="0"/>
          <w:sz w:val="30"/>
          <w:szCs w:val="30"/>
          <w:u w:val="none"/>
          <w:lang w:val="en-US" w:eastAsia="zh-CN"/>
        </w:rPr>
        <w:t xml:space="preserve">第八条  </w:t>
      </w:r>
      <w:r>
        <w:rPr>
          <w:rFonts w:hint="eastAsia" w:ascii="Times New Roman" w:hAnsi="Times New Roman" w:eastAsia="仿宋_GB2312" w:cs="仿宋_GB2312"/>
          <w:b w:val="0"/>
          <w:bCs w:val="0"/>
          <w:spacing w:val="0"/>
          <w:sz w:val="30"/>
          <w:szCs w:val="30"/>
          <w:u w:val="none"/>
          <w:lang w:val="en-US" w:eastAsia="zh-CN"/>
        </w:rPr>
        <w:t>任何单位和个人对发现的事故隐患，有权向负有安全生产监督管理职责的部门报告或者举报。有关部门接到报告或者举报后，应当立即组织核实处理；无权处理的，及时移送有管辖权的部门。</w:t>
      </w:r>
    </w:p>
    <w:p w14:paraId="28DB1C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eastAsia="仿宋_GB2312" w:cs="仿宋_GB2312"/>
          <w:b w:val="0"/>
          <w:bCs w:val="0"/>
          <w:spacing w:val="0"/>
          <w:sz w:val="30"/>
          <w:szCs w:val="30"/>
          <w:u w:val="none"/>
          <w:lang w:val="en-US" w:eastAsia="zh-CN"/>
        </w:rPr>
        <w:t>举报属实的，按照规定给予奖励。</w:t>
      </w:r>
    </w:p>
    <w:p w14:paraId="11D7CA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p>
    <w:p w14:paraId="5274DA8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Times New Roman" w:hAnsi="Times New Roman" w:eastAsia="黑体" w:cs="黑体"/>
          <w:b w:val="0"/>
          <w:bCs w:val="0"/>
          <w:spacing w:val="0"/>
          <w:sz w:val="30"/>
          <w:szCs w:val="30"/>
          <w:u w:val="none"/>
          <w:lang w:val="en-US" w:eastAsia="zh-CN"/>
        </w:rPr>
      </w:pPr>
      <w:r>
        <w:rPr>
          <w:rFonts w:hint="eastAsia" w:ascii="Times New Roman" w:hAnsi="Times New Roman" w:eastAsia="黑体" w:cs="黑体"/>
          <w:b w:val="0"/>
          <w:bCs w:val="0"/>
          <w:spacing w:val="0"/>
          <w:sz w:val="30"/>
          <w:szCs w:val="30"/>
          <w:u w:val="none"/>
          <w:lang w:val="en-US" w:eastAsia="zh-CN"/>
        </w:rPr>
        <w:t>第二章</w:t>
      </w:r>
      <w:r>
        <w:rPr>
          <w:rFonts w:hint="eastAsia" w:ascii="Times New Roman" w:hAnsi="Times New Roman" w:eastAsia="仿宋_GB2312" w:cs="仿宋_GB2312"/>
          <w:b w:val="0"/>
          <w:bCs w:val="0"/>
          <w:spacing w:val="0"/>
          <w:sz w:val="30"/>
          <w:szCs w:val="30"/>
          <w:u w:val="none"/>
          <w:lang w:val="en-US" w:eastAsia="zh-CN"/>
        </w:rPr>
        <w:t>　</w:t>
      </w:r>
      <w:r>
        <w:rPr>
          <w:rFonts w:hint="eastAsia" w:ascii="Times New Roman" w:hAnsi="Times New Roman" w:eastAsia="黑体" w:cs="黑体"/>
          <w:b w:val="0"/>
          <w:bCs w:val="0"/>
          <w:spacing w:val="0"/>
          <w:sz w:val="30"/>
          <w:szCs w:val="30"/>
          <w:u w:val="none"/>
          <w:lang w:val="en-US" w:eastAsia="zh-CN"/>
        </w:rPr>
        <w:t>生产经营单位的事故隐患排查治理职责</w:t>
      </w:r>
    </w:p>
    <w:p w14:paraId="4F9124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b w:val="0"/>
          <w:bCs w:val="0"/>
          <w:spacing w:val="0"/>
          <w:sz w:val="30"/>
          <w:szCs w:val="30"/>
          <w:u w:val="none"/>
          <w:lang w:val="en-US" w:eastAsia="zh-CN"/>
        </w:rPr>
      </w:pPr>
    </w:p>
    <w:p w14:paraId="4736A4D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黑体" w:cs="黑体"/>
          <w:b w:val="0"/>
          <w:bCs w:val="0"/>
          <w:spacing w:val="0"/>
          <w:sz w:val="30"/>
          <w:szCs w:val="30"/>
          <w:u w:val="none"/>
          <w:lang w:val="en-US" w:eastAsia="zh-CN"/>
        </w:rPr>
        <w:t>第九条</w:t>
      </w: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生产经营单位应当在风险辨识评估的基础上，加强对工艺系统、基础设施、技术装备、作业环境、防控措施等方面的实时监控和日常排查，并承担下列事故隐患排查治理责任：</w:t>
      </w:r>
    </w:p>
    <w:p w14:paraId="66ED894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（一）建立健全事故隐患排查治理制度，明确事故隐患排查治理的责任、内容、周期、监控、治理措施和资金保障等事项；</w:t>
      </w:r>
    </w:p>
    <w:p w14:paraId="485866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eastAsia="仿宋_GB2312" w:cs="仿宋_GB2312"/>
          <w:b w:val="0"/>
          <w:bCs w:val="0"/>
          <w:spacing w:val="0"/>
          <w:sz w:val="30"/>
          <w:szCs w:val="30"/>
          <w:u w:val="none"/>
          <w:lang w:val="en-US" w:eastAsia="zh-CN"/>
        </w:rPr>
        <w:t>（二）对从业人员进行事故隐患排查治理技能教育和培训</w:t>
      </w:r>
      <w:r>
        <w:rPr>
          <w:rFonts w:hint="eastAsia" w:ascii="Times New Roman" w:hAnsi="Times New Roman" w:cs="仿宋_GB2312"/>
          <w:b w:val="0"/>
          <w:bCs w:val="0"/>
          <w:spacing w:val="0"/>
          <w:sz w:val="30"/>
          <w:szCs w:val="30"/>
          <w:u w:val="none"/>
          <w:lang w:val="en-US" w:eastAsia="zh-CN"/>
        </w:rPr>
        <w:t>，</w:t>
      </w:r>
      <w:r>
        <w:rPr>
          <w:rFonts w:hint="eastAsia" w:ascii="Times New Roman" w:hAnsi="Times New Roman" w:eastAsia="仿宋_GB2312" w:cs="仿宋_GB2312"/>
          <w:b w:val="0"/>
          <w:bCs w:val="0"/>
          <w:spacing w:val="0"/>
          <w:sz w:val="30"/>
          <w:szCs w:val="30"/>
          <w:u w:val="none"/>
          <w:lang w:val="en-US" w:eastAsia="zh-CN"/>
        </w:rPr>
        <w:t>如实告知从业人员作业场所和工作岗位存在的危险因素、防范措施以及事故应急措施；</w:t>
      </w:r>
    </w:p>
    <w:p w14:paraId="740CF4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eastAsia="仿宋_GB2312" w:cs="仿宋_GB2312"/>
          <w:b w:val="0"/>
          <w:bCs w:val="0"/>
          <w:spacing w:val="0"/>
          <w:sz w:val="30"/>
          <w:szCs w:val="30"/>
          <w:u w:val="none"/>
          <w:lang w:val="en-US" w:eastAsia="zh-CN"/>
        </w:rPr>
        <w:t>（三）对照风险管控清单，对风险点和风险管控措施落实情况进行排查；</w:t>
      </w:r>
    </w:p>
    <w:p w14:paraId="723FA2B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eastAsia="仿宋_GB2312" w:cs="仿宋_GB2312"/>
          <w:b w:val="0"/>
          <w:bCs w:val="0"/>
          <w:spacing w:val="0"/>
          <w:sz w:val="30"/>
          <w:szCs w:val="30"/>
          <w:u w:val="none"/>
          <w:lang w:val="en-US" w:eastAsia="zh-CN"/>
        </w:rPr>
        <w:t>（四）依据有关标准对排查出的事故隐患进行判定，并采取相应的技术和管理措施及时予以消除；</w:t>
      </w:r>
    </w:p>
    <w:p w14:paraId="714189F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eastAsia="仿宋_GB2312" w:cs="仿宋_GB2312"/>
          <w:b w:val="0"/>
          <w:bCs w:val="0"/>
          <w:spacing w:val="0"/>
          <w:sz w:val="30"/>
          <w:szCs w:val="30"/>
          <w:u w:val="none"/>
          <w:lang w:val="en-US" w:eastAsia="zh-CN"/>
        </w:rPr>
        <w:t>（五）建立事故隐患排查治理台账或者重大事故隐患排查治理信息档案；</w:t>
      </w:r>
    </w:p>
    <w:p w14:paraId="1C4844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eastAsia="仿宋_GB2312" w:cs="仿宋_GB2312"/>
          <w:b w:val="0"/>
          <w:bCs w:val="0"/>
          <w:spacing w:val="0"/>
          <w:sz w:val="30"/>
          <w:szCs w:val="30"/>
          <w:u w:val="none"/>
          <w:lang w:val="en-US" w:eastAsia="zh-CN"/>
        </w:rPr>
        <w:t>（六）将事故隐患排查治理情况通过职工大会、职工代表大会或者信息公示栏等方式向从业人员报告、通报。</w:t>
      </w:r>
    </w:p>
    <w:p w14:paraId="44EBFB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黑体" w:cs="黑体"/>
          <w:b w:val="0"/>
          <w:bCs w:val="0"/>
          <w:spacing w:val="0"/>
          <w:sz w:val="30"/>
          <w:szCs w:val="30"/>
          <w:u w:val="none"/>
          <w:lang w:val="en-US" w:eastAsia="zh-CN"/>
        </w:rPr>
        <w:t xml:space="preserve">第十条  </w:t>
      </w:r>
      <w:r>
        <w:rPr>
          <w:rFonts w:hint="eastAsia" w:ascii="Times New Roman" w:hAnsi="Times New Roman" w:eastAsia="仿宋_GB2312" w:cs="仿宋_GB2312"/>
          <w:b w:val="0"/>
          <w:bCs w:val="0"/>
          <w:spacing w:val="0"/>
          <w:sz w:val="30"/>
          <w:szCs w:val="30"/>
          <w:u w:val="none"/>
          <w:lang w:val="en-US" w:eastAsia="zh-CN"/>
        </w:rPr>
        <w:t>生产经营单位主要负责人对本单位事故隐患排查治理工作全面负责，履行下列职责:</w:t>
      </w:r>
    </w:p>
    <w:p w14:paraId="164BFA2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7"/>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（一）</w:t>
      </w:r>
      <w:r>
        <w:rPr>
          <w:rFonts w:hint="eastAsia" w:ascii="Times New Roman" w:hAnsi="Times New Roman" w:eastAsia="仿宋_GB2312" w:cs="仿宋_GB2312"/>
          <w:b w:val="0"/>
          <w:bCs w:val="0"/>
          <w:spacing w:val="-7"/>
          <w:sz w:val="30"/>
          <w:szCs w:val="30"/>
          <w:u w:val="none"/>
          <w:lang w:val="en-US" w:eastAsia="zh-CN"/>
        </w:rPr>
        <w:t>将事故隐患排查治理纳入全员安全生产责任制并加强考核；</w:t>
      </w:r>
    </w:p>
    <w:p w14:paraId="562BC5C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eastAsia="仿宋_GB2312" w:cs="仿宋_GB2312"/>
          <w:b w:val="0"/>
          <w:bCs w:val="0"/>
          <w:spacing w:val="0"/>
          <w:sz w:val="30"/>
          <w:szCs w:val="30"/>
          <w:u w:val="none"/>
          <w:lang w:val="en-US" w:eastAsia="zh-CN"/>
        </w:rPr>
        <w:t>（二）组织制定并落实事故隐患排查治理制度；</w:t>
      </w:r>
    </w:p>
    <w:p w14:paraId="557D765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eastAsia="仿宋_GB2312" w:cs="仿宋_GB2312"/>
          <w:b w:val="0"/>
          <w:bCs w:val="0"/>
          <w:spacing w:val="0"/>
          <w:sz w:val="30"/>
          <w:szCs w:val="30"/>
          <w:u w:val="none"/>
          <w:lang w:val="en-US" w:eastAsia="zh-CN"/>
        </w:rPr>
        <w:t>（三）保障事故隐患排查治理所需资金；</w:t>
      </w:r>
    </w:p>
    <w:p w14:paraId="4FAFDE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eastAsia="仿宋_GB2312" w:cs="仿宋_GB2312"/>
          <w:b w:val="0"/>
          <w:bCs w:val="0"/>
          <w:spacing w:val="0"/>
          <w:sz w:val="30"/>
          <w:szCs w:val="30"/>
          <w:u w:val="none"/>
          <w:lang w:val="en-US" w:eastAsia="zh-CN"/>
        </w:rPr>
        <w:t>（四）组织开展事故隐患排查治理，及时消除事故隐患。</w:t>
      </w:r>
    </w:p>
    <w:p w14:paraId="7AE4FB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黑体" w:cs="黑体"/>
          <w:b w:val="0"/>
          <w:bCs w:val="0"/>
          <w:spacing w:val="0"/>
          <w:sz w:val="30"/>
          <w:szCs w:val="30"/>
          <w:u w:val="none"/>
          <w:lang w:val="en-US" w:eastAsia="zh-CN"/>
        </w:rPr>
        <w:t xml:space="preserve">第十一条  </w:t>
      </w:r>
      <w:r>
        <w:rPr>
          <w:rFonts w:hint="eastAsia" w:ascii="Times New Roman" w:hAnsi="Times New Roman" w:eastAsia="仿宋_GB2312" w:cs="仿宋_GB2312"/>
          <w:b w:val="0"/>
          <w:bCs w:val="0"/>
          <w:spacing w:val="0"/>
          <w:sz w:val="30"/>
          <w:szCs w:val="30"/>
          <w:u w:val="none"/>
          <w:lang w:val="en-US" w:eastAsia="zh-CN"/>
        </w:rPr>
        <w:t>生产经营单位分管安全生产的负责人或者安全总监协助主要负责人履行事故隐患排查治理职责，并直接管理本单位的事故隐患排查治理工作。</w:t>
      </w:r>
    </w:p>
    <w:p w14:paraId="53611A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生产经营单位其他相关负责人和职能部门负责人、生产车间（区队）负责人、生产班组负责人在履行各自岗位业务工作职责的同时，履行相关的风险辨识评估和事故隐患排查治理工作职责。</w:t>
      </w:r>
    </w:p>
    <w:p w14:paraId="6B77113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黑体" w:cs="黑体"/>
          <w:b w:val="0"/>
          <w:bCs w:val="0"/>
          <w:spacing w:val="0"/>
          <w:sz w:val="30"/>
          <w:szCs w:val="30"/>
          <w:u w:val="none"/>
          <w:lang w:val="en-US" w:eastAsia="zh-CN"/>
        </w:rPr>
        <w:t>第十二条</w:t>
      </w: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生产经营单位的安全生产管理机构以及安全生产管理人员履行下列职责:</w:t>
      </w:r>
    </w:p>
    <w:p w14:paraId="7F55E8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（一）组织风险辨识评估，并告知从业人员所从事岗位存在的安全风险；</w:t>
      </w:r>
    </w:p>
    <w:p w14:paraId="23223A9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（二）组织拟订本单位事故隐患排查治理工作制度并督促执行；</w:t>
      </w:r>
    </w:p>
    <w:p w14:paraId="3FB679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（三）组织或者参与本单位事故隐患排查治理技能教育和培训，如实记录教育和培训情况；</w:t>
      </w:r>
    </w:p>
    <w:p w14:paraId="6142820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（四）组织、督促、检查本单位（包括委托方、相关方等）事故隐患排查治理工作；</w:t>
      </w:r>
    </w:p>
    <w:p w14:paraId="3391A1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（五）对未按照规定排查治理事故隐患的有关职能部门、生产车间（区队）、生产班组以及有关责任人员，依照职权查处或者提出处理意见。</w:t>
      </w:r>
    </w:p>
    <w:p w14:paraId="792E276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黑体" w:cs="黑体"/>
          <w:b w:val="0"/>
          <w:bCs w:val="0"/>
          <w:spacing w:val="0"/>
          <w:sz w:val="30"/>
          <w:szCs w:val="30"/>
          <w:u w:val="none"/>
          <w:lang w:val="en-US" w:eastAsia="zh-CN"/>
        </w:rPr>
        <w:t xml:space="preserve">第十三条  </w:t>
      </w:r>
      <w:r>
        <w:rPr>
          <w:rFonts w:hint="eastAsia" w:ascii="Times New Roman" w:hAnsi="Times New Roman" w:eastAsia="仿宋_GB2312" w:cs="仿宋_GB2312"/>
          <w:b w:val="0"/>
          <w:bCs w:val="0"/>
          <w:spacing w:val="0"/>
          <w:sz w:val="30"/>
          <w:szCs w:val="30"/>
          <w:u w:val="none"/>
          <w:lang w:val="en-US" w:eastAsia="zh-CN"/>
        </w:rPr>
        <w:t>生产经营单位的从业人员对所在工作岗位事故隐患排查治理负有如下义务:</w:t>
      </w:r>
    </w:p>
    <w:p w14:paraId="2A7497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（一）知悉本岗位存在的安全风险</w:t>
      </w:r>
      <w:r>
        <w:rPr>
          <w:rFonts w:hint="eastAsia" w:ascii="Times New Roman" w:hAnsi="Times New Roman" w:cs="仿宋_GB2312"/>
          <w:b w:val="0"/>
          <w:bCs w:val="0"/>
          <w:spacing w:val="0"/>
          <w:sz w:val="30"/>
          <w:szCs w:val="30"/>
          <w:u w:val="none"/>
          <w:lang w:val="en-US" w:eastAsia="zh-CN"/>
        </w:rPr>
        <w:t>；</w:t>
      </w:r>
    </w:p>
    <w:p w14:paraId="26012FB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eastAsia="仿宋_GB2312" w:cs="仿宋_GB2312"/>
          <w:b w:val="0"/>
          <w:bCs w:val="0"/>
          <w:spacing w:val="0"/>
          <w:sz w:val="30"/>
          <w:szCs w:val="30"/>
          <w:u w:val="none"/>
          <w:lang w:val="en-US" w:eastAsia="zh-CN"/>
        </w:rPr>
        <w:t>（二）在上岗作业前进行安全确认</w:t>
      </w:r>
      <w:r>
        <w:rPr>
          <w:rFonts w:hint="eastAsia" w:ascii="Times New Roman" w:hAnsi="Times New Roman" w:cs="仿宋_GB2312"/>
          <w:b w:val="0"/>
          <w:bCs w:val="0"/>
          <w:spacing w:val="0"/>
          <w:sz w:val="30"/>
          <w:szCs w:val="30"/>
          <w:u w:val="none"/>
          <w:lang w:val="en-US" w:eastAsia="zh-CN"/>
        </w:rPr>
        <w:t>；</w:t>
      </w:r>
    </w:p>
    <w:p w14:paraId="4CD2C11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eastAsia="仿宋_GB2312" w:cs="仿宋_GB2312"/>
          <w:b w:val="0"/>
          <w:bCs w:val="0"/>
          <w:spacing w:val="0"/>
          <w:sz w:val="30"/>
          <w:szCs w:val="30"/>
          <w:u w:val="none"/>
          <w:lang w:val="en-US" w:eastAsia="zh-CN"/>
        </w:rPr>
        <w:t>（三）正确佩戴和使用劳动防护用品</w:t>
      </w:r>
      <w:r>
        <w:rPr>
          <w:rFonts w:hint="eastAsia" w:ascii="Times New Roman" w:hAnsi="Times New Roman" w:cs="仿宋_GB2312"/>
          <w:b w:val="0"/>
          <w:bCs w:val="0"/>
          <w:spacing w:val="0"/>
          <w:sz w:val="30"/>
          <w:szCs w:val="30"/>
          <w:u w:val="none"/>
          <w:lang w:val="en-US" w:eastAsia="zh-CN"/>
        </w:rPr>
        <w:t>；</w:t>
      </w:r>
    </w:p>
    <w:p w14:paraId="1B1186C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eastAsia="仿宋_GB2312" w:cs="仿宋_GB2312"/>
          <w:b w:val="0"/>
          <w:bCs w:val="0"/>
          <w:spacing w:val="0"/>
          <w:sz w:val="30"/>
          <w:szCs w:val="30"/>
          <w:u w:val="none"/>
          <w:lang w:val="en-US" w:eastAsia="zh-CN"/>
        </w:rPr>
        <w:t>（四）严格遵守岗位操作规程，杜绝违章作业</w:t>
      </w:r>
      <w:r>
        <w:rPr>
          <w:rFonts w:hint="eastAsia" w:ascii="Times New Roman" w:hAnsi="Times New Roman" w:cs="仿宋_GB2312"/>
          <w:b w:val="0"/>
          <w:bCs w:val="0"/>
          <w:spacing w:val="0"/>
          <w:sz w:val="30"/>
          <w:szCs w:val="30"/>
          <w:u w:val="none"/>
          <w:lang w:val="en-US" w:eastAsia="zh-CN"/>
        </w:rPr>
        <w:t>；</w:t>
      </w:r>
    </w:p>
    <w:p w14:paraId="3945C5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eastAsia="仿宋_GB2312" w:cs="仿宋_GB2312"/>
          <w:b w:val="0"/>
          <w:bCs w:val="0"/>
          <w:spacing w:val="0"/>
          <w:sz w:val="30"/>
          <w:szCs w:val="30"/>
          <w:u w:val="none"/>
          <w:lang w:val="en-US" w:eastAsia="zh-CN"/>
        </w:rPr>
        <w:t>（五）及时排查、消除并报告事故隐患</w:t>
      </w:r>
      <w:r>
        <w:rPr>
          <w:rFonts w:hint="eastAsia" w:ascii="Times New Roman" w:hAnsi="Times New Roman" w:cs="仿宋_GB2312"/>
          <w:b w:val="0"/>
          <w:bCs w:val="0"/>
          <w:spacing w:val="0"/>
          <w:sz w:val="30"/>
          <w:szCs w:val="30"/>
          <w:u w:val="none"/>
          <w:lang w:val="en-US" w:eastAsia="zh-CN"/>
        </w:rPr>
        <w:t>；</w:t>
      </w:r>
    </w:p>
    <w:p w14:paraId="3622474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eastAsia="仿宋_GB2312" w:cs="仿宋_GB2312"/>
          <w:b w:val="0"/>
          <w:bCs w:val="0"/>
          <w:spacing w:val="0"/>
          <w:sz w:val="30"/>
          <w:szCs w:val="30"/>
          <w:u w:val="none"/>
          <w:lang w:val="en-US" w:eastAsia="zh-CN"/>
        </w:rPr>
        <w:t>（六）身体欠佳或者情绪异常时及时向班组长报告。</w:t>
      </w:r>
    </w:p>
    <w:p w14:paraId="035F39A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黑体" w:cs="黑体"/>
          <w:b w:val="0"/>
          <w:bCs w:val="0"/>
          <w:spacing w:val="0"/>
          <w:sz w:val="30"/>
          <w:szCs w:val="30"/>
          <w:u w:val="none"/>
          <w:lang w:val="en-US" w:eastAsia="zh-CN"/>
        </w:rPr>
        <w:t xml:space="preserve">第十四条  </w:t>
      </w:r>
      <w:r>
        <w:rPr>
          <w:rFonts w:hint="eastAsia" w:ascii="Times New Roman" w:hAnsi="Times New Roman" w:eastAsia="仿宋_GB2312" w:cs="仿宋_GB2312"/>
          <w:b w:val="0"/>
          <w:bCs w:val="0"/>
          <w:spacing w:val="0"/>
          <w:sz w:val="30"/>
          <w:szCs w:val="30"/>
          <w:u w:val="none"/>
          <w:lang w:val="en-US" w:eastAsia="zh-CN"/>
        </w:rPr>
        <w:t>生产经营单位应当根据本单位生产经营特点，对下列事项进行定期排查：</w:t>
      </w:r>
    </w:p>
    <w:p w14:paraId="0961CF4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（一）事故隐患排查治理制度的制定和落实情况；</w:t>
      </w:r>
    </w:p>
    <w:p w14:paraId="25833CA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（二）安全生产教育和培训情况；</w:t>
      </w:r>
    </w:p>
    <w:p w14:paraId="2B39DF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（三）特种作业人员持证上岗情况；</w:t>
      </w:r>
    </w:p>
    <w:p w14:paraId="3A5F00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（四）生产装置和安全设施、设备运行状况以及日常维护、保养、检验、检测情况；</w:t>
      </w:r>
    </w:p>
    <w:p w14:paraId="569656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（五）有较大危险因素的场所和危险作业的安全管理情况；</w:t>
      </w:r>
    </w:p>
    <w:p w14:paraId="746BE2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（六）劳动防护用品的配备和佩戴使用情况；</w:t>
      </w:r>
    </w:p>
    <w:p w14:paraId="51F032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（七）重大危险源管控情况；</w:t>
      </w:r>
    </w:p>
    <w:p w14:paraId="4158DEB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（八）应急救援预案制定、演练和应急救援物资配备情况；</w:t>
      </w:r>
    </w:p>
    <w:p w14:paraId="561ED2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（九）其他应当进行定期排查的事项。</w:t>
      </w:r>
    </w:p>
    <w:p w14:paraId="1EF49D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4"/>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黑体" w:cs="黑体"/>
          <w:b w:val="0"/>
          <w:bCs w:val="0"/>
          <w:spacing w:val="0"/>
          <w:sz w:val="30"/>
          <w:szCs w:val="30"/>
          <w:u w:val="none"/>
          <w:lang w:val="en-US" w:eastAsia="zh-CN"/>
        </w:rPr>
        <w:t xml:space="preserve">第十五条  </w:t>
      </w:r>
      <w:r>
        <w:rPr>
          <w:rFonts w:hint="eastAsia" w:ascii="Times New Roman" w:hAnsi="Times New Roman" w:eastAsia="仿宋_GB2312" w:cs="仿宋_GB2312"/>
          <w:b w:val="0"/>
          <w:bCs w:val="0"/>
          <w:spacing w:val="-4"/>
          <w:sz w:val="30"/>
          <w:szCs w:val="30"/>
          <w:u w:val="none"/>
          <w:lang w:val="en-US" w:eastAsia="zh-CN"/>
        </w:rPr>
        <w:t>有下列情形之一的，生产经营单位应当进行专项排查：</w:t>
      </w:r>
    </w:p>
    <w:p w14:paraId="36ADAE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（一）有关安全生产标准、规程发布或者修改的；</w:t>
      </w:r>
    </w:p>
    <w:p w14:paraId="6F7018A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（二）新建、改建、扩建工程项目建设和试生产的；</w:t>
      </w:r>
    </w:p>
    <w:p w14:paraId="66D5F8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（三）复工复产、检维修作业、化工装置开停车的；</w:t>
      </w:r>
    </w:p>
    <w:p w14:paraId="09E2C4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（四）周边环境、作业条件、设备设施、工艺技术发生改变的；</w:t>
      </w:r>
    </w:p>
    <w:p w14:paraId="4971E9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（五）发生重大自然灾害、遇有极端天气或发生事故险情的；</w:t>
      </w:r>
    </w:p>
    <w:p w14:paraId="216CA1D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（六）本单位组织机构进行调整，相关方进驻或撤出本单位致使安全生产条件发生变化的；</w:t>
      </w:r>
    </w:p>
    <w:p w14:paraId="6580F6C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（七）其他应当进行专项排查的情形。</w:t>
      </w:r>
    </w:p>
    <w:p w14:paraId="255B3E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黑体" w:cs="黑体"/>
          <w:b w:val="0"/>
          <w:bCs w:val="0"/>
          <w:spacing w:val="0"/>
          <w:sz w:val="30"/>
          <w:szCs w:val="30"/>
          <w:u w:val="none"/>
          <w:lang w:val="en-US" w:eastAsia="zh-CN"/>
        </w:rPr>
        <w:t xml:space="preserve">第十六条  </w:t>
      </w:r>
      <w:r>
        <w:rPr>
          <w:rFonts w:hint="eastAsia" w:ascii="Times New Roman" w:hAnsi="Times New Roman" w:eastAsia="仿宋_GB2312" w:cs="仿宋_GB2312"/>
          <w:b w:val="0"/>
          <w:bCs w:val="0"/>
          <w:spacing w:val="0"/>
          <w:sz w:val="30"/>
          <w:szCs w:val="30"/>
          <w:u w:val="none"/>
          <w:lang w:val="en-US" w:eastAsia="zh-CN"/>
        </w:rPr>
        <w:t>生产经营单位从业人员发现事故隐患的，应当立即报告现场负责人或者本单位负责人，接到报告的人员应当及时予以处理；发现直接危及人身安全的紧急情况时，从业人员有权停止作业或者采取可能的应急措施后撤离作业场所。</w:t>
      </w:r>
    </w:p>
    <w:p w14:paraId="598F328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黑体" w:cs="黑体"/>
          <w:b w:val="0"/>
          <w:bCs w:val="0"/>
          <w:spacing w:val="0"/>
          <w:sz w:val="30"/>
          <w:szCs w:val="30"/>
          <w:u w:val="none"/>
          <w:lang w:val="en-US" w:eastAsia="zh-CN"/>
        </w:rPr>
        <w:t xml:space="preserve">第十七条  </w:t>
      </w:r>
      <w:r>
        <w:rPr>
          <w:rFonts w:hint="eastAsia" w:ascii="Times New Roman" w:hAnsi="Times New Roman" w:eastAsia="仿宋_GB2312" w:cs="仿宋_GB2312"/>
          <w:b w:val="0"/>
          <w:bCs w:val="0"/>
          <w:spacing w:val="0"/>
          <w:sz w:val="30"/>
          <w:szCs w:val="30"/>
          <w:u w:val="none"/>
          <w:lang w:val="en-US" w:eastAsia="zh-CN"/>
        </w:rPr>
        <w:t>生产经营单位对发现的事故隐患，应当及时采取技术、管理措施予以消除。对不能及时消除的重大事故隐患，生产经营单位应当采取下列治理措施：</w:t>
      </w:r>
    </w:p>
    <w:p w14:paraId="06C817B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（一）根据需要停止使用相关设施、设备，局部或者全部停产停业；</w:t>
      </w:r>
    </w:p>
    <w:p w14:paraId="6F233DE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eastAsia="仿宋_GB2312" w:cs="仿宋_GB2312"/>
          <w:b w:val="0"/>
          <w:bCs w:val="0"/>
          <w:spacing w:val="0"/>
          <w:sz w:val="30"/>
          <w:szCs w:val="30"/>
          <w:u w:val="none"/>
          <w:lang w:val="en-US" w:eastAsia="zh-CN"/>
        </w:rPr>
        <w:t>（二）组织开展现状风险评估，并向从业人员公示重大事故隐患的危害程度、影响范围和应急措施；</w:t>
      </w:r>
    </w:p>
    <w:p w14:paraId="78A42A9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eastAsia="仿宋_GB2312" w:cs="仿宋_GB2312"/>
          <w:b w:val="0"/>
          <w:bCs w:val="0"/>
          <w:spacing w:val="0"/>
          <w:sz w:val="30"/>
          <w:szCs w:val="30"/>
          <w:u w:val="none"/>
          <w:lang w:val="en-US" w:eastAsia="zh-CN"/>
        </w:rPr>
        <w:t>（三）根据风险评估情况制定治理方案；</w:t>
      </w:r>
    </w:p>
    <w:p w14:paraId="1D74F34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eastAsia="仿宋_GB2312" w:cs="仿宋_GB2312"/>
          <w:b w:val="0"/>
          <w:bCs w:val="0"/>
          <w:spacing w:val="0"/>
          <w:sz w:val="30"/>
          <w:szCs w:val="30"/>
          <w:u w:val="none"/>
          <w:lang w:val="en-US" w:eastAsia="zh-CN"/>
        </w:rPr>
        <w:t>（四）组织落实治理方案，消除事故隐患；</w:t>
      </w:r>
    </w:p>
    <w:p w14:paraId="546018B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eastAsia="仿宋_GB2312" w:cs="仿宋_GB2312"/>
          <w:b w:val="0"/>
          <w:bCs w:val="0"/>
          <w:spacing w:val="0"/>
          <w:sz w:val="30"/>
          <w:szCs w:val="30"/>
          <w:u w:val="none"/>
          <w:lang w:val="en-US" w:eastAsia="zh-CN"/>
        </w:rPr>
        <w:t>（五）组织复查验收。</w:t>
      </w:r>
    </w:p>
    <w:p w14:paraId="22E120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4"/>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黑体" w:cs="黑体"/>
          <w:b w:val="0"/>
          <w:bCs w:val="0"/>
          <w:spacing w:val="0"/>
          <w:sz w:val="30"/>
          <w:szCs w:val="30"/>
          <w:u w:val="none"/>
          <w:lang w:val="en-US" w:eastAsia="zh-CN"/>
        </w:rPr>
        <w:t xml:space="preserve">第十八条  </w:t>
      </w:r>
      <w:r>
        <w:rPr>
          <w:rFonts w:hint="eastAsia" w:ascii="Times New Roman" w:hAnsi="Times New Roman" w:eastAsia="仿宋_GB2312" w:cs="仿宋_GB2312"/>
          <w:b w:val="0"/>
          <w:bCs w:val="0"/>
          <w:spacing w:val="-4"/>
          <w:sz w:val="30"/>
          <w:szCs w:val="30"/>
          <w:u w:val="none"/>
          <w:lang w:val="en-US" w:eastAsia="zh-CN"/>
        </w:rPr>
        <w:t>生产经营单位应当强化事故隐患治理整改过程管理：</w:t>
      </w:r>
    </w:p>
    <w:p w14:paraId="6360E2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eastAsia="仿宋_GB2312" w:cs="仿宋_GB2312"/>
          <w:b w:val="0"/>
          <w:bCs w:val="0"/>
          <w:spacing w:val="0"/>
          <w:sz w:val="30"/>
          <w:szCs w:val="30"/>
          <w:u w:val="none"/>
          <w:lang w:val="en-US" w:eastAsia="zh-CN"/>
        </w:rPr>
        <w:t>（一）制定治理方案；</w:t>
      </w:r>
    </w:p>
    <w:p w14:paraId="7FBC908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eastAsia="仿宋_GB2312" w:cs="仿宋_GB2312"/>
          <w:b w:val="0"/>
          <w:bCs w:val="0"/>
          <w:spacing w:val="0"/>
          <w:sz w:val="30"/>
          <w:szCs w:val="30"/>
          <w:u w:val="none"/>
          <w:lang w:val="en-US" w:eastAsia="zh-CN"/>
        </w:rPr>
        <w:t>（二）整改过程隐患辨识，制定应对措施；</w:t>
      </w:r>
    </w:p>
    <w:p w14:paraId="0F57C1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eastAsia="仿宋_GB2312" w:cs="仿宋_GB2312"/>
          <w:b w:val="0"/>
          <w:bCs w:val="0"/>
          <w:spacing w:val="0"/>
          <w:sz w:val="30"/>
          <w:szCs w:val="30"/>
          <w:u w:val="none"/>
          <w:lang w:val="en-US" w:eastAsia="zh-CN"/>
        </w:rPr>
        <w:t>（三）经生产经营单位主要负责人审批，必要时经专家论证；</w:t>
      </w:r>
    </w:p>
    <w:p w14:paraId="094CE37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eastAsia="仿宋_GB2312" w:cs="仿宋_GB2312"/>
          <w:b w:val="0"/>
          <w:bCs w:val="0"/>
          <w:spacing w:val="0"/>
          <w:sz w:val="30"/>
          <w:szCs w:val="30"/>
          <w:u w:val="none"/>
          <w:lang w:val="en-US" w:eastAsia="zh-CN"/>
        </w:rPr>
        <w:t>（四）参与人员进行整改前的专题培训；</w:t>
      </w:r>
    </w:p>
    <w:p w14:paraId="4B2D45D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eastAsia="仿宋_GB2312" w:cs="仿宋_GB2312"/>
          <w:b w:val="0"/>
          <w:bCs w:val="0"/>
          <w:spacing w:val="0"/>
          <w:sz w:val="30"/>
          <w:szCs w:val="30"/>
          <w:u w:val="none"/>
          <w:lang w:val="en-US" w:eastAsia="zh-CN"/>
        </w:rPr>
        <w:t>（五）设有专人监护；</w:t>
      </w:r>
    </w:p>
    <w:p w14:paraId="14ED07B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eastAsia="仿宋_GB2312" w:cs="仿宋_GB2312"/>
          <w:b w:val="0"/>
          <w:bCs w:val="0"/>
          <w:spacing w:val="0"/>
          <w:sz w:val="30"/>
          <w:szCs w:val="30"/>
          <w:u w:val="none"/>
          <w:lang w:val="en-US" w:eastAsia="zh-CN"/>
        </w:rPr>
        <w:t>（六）整改后的调试过程实行“现场人数和安全位置”双确认。</w:t>
      </w:r>
    </w:p>
    <w:p w14:paraId="1A83E1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事故隐患排除前或者排除过程中无法保证安全的，应当从危险区域内撤出作业人员，疏散可能危及的人员，设置安全警示标志。</w:t>
      </w:r>
    </w:p>
    <w:p w14:paraId="2D6AB73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黑体" w:cs="黑体"/>
          <w:b w:val="0"/>
          <w:bCs w:val="0"/>
          <w:spacing w:val="0"/>
          <w:sz w:val="30"/>
          <w:szCs w:val="30"/>
          <w:u w:val="none"/>
          <w:lang w:val="en-US" w:eastAsia="zh-CN"/>
        </w:rPr>
        <w:t xml:space="preserve">第十九条  </w:t>
      </w:r>
      <w:r>
        <w:rPr>
          <w:rFonts w:hint="eastAsia" w:ascii="Times New Roman" w:hAnsi="Times New Roman" w:eastAsia="仿宋_GB2312" w:cs="仿宋_GB2312"/>
          <w:b w:val="0"/>
          <w:bCs w:val="0"/>
          <w:spacing w:val="0"/>
          <w:sz w:val="30"/>
          <w:szCs w:val="30"/>
          <w:u w:val="none"/>
          <w:lang w:val="en-US" w:eastAsia="zh-CN"/>
        </w:rPr>
        <w:t>对于因自然灾害可能引发的事故隐患，生产经营单位应当按照有关法律、法规、规章、标准的要求进行排查治理，采取可靠的预防措施。</w:t>
      </w:r>
    </w:p>
    <w:p w14:paraId="68116B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生产经营单位在接到有关自然灾害预报时，应当及时发出预警通知；发生自然灾害可能危及生产经营单位和人员安全的情况时，应当采取停止作业、撤离人员、加强监测等安全措施，并及时向属地人民政府（管委会）及其有关部门报告。</w:t>
      </w:r>
    </w:p>
    <w:p w14:paraId="00BAD5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黑体" w:cs="黑体"/>
          <w:b w:val="0"/>
          <w:bCs w:val="0"/>
          <w:spacing w:val="0"/>
          <w:sz w:val="30"/>
          <w:szCs w:val="30"/>
          <w:u w:val="none"/>
          <w:lang w:val="en-US" w:eastAsia="zh-CN"/>
        </w:rPr>
        <w:t xml:space="preserve">第二十条  </w:t>
      </w:r>
      <w:r>
        <w:rPr>
          <w:rFonts w:hint="eastAsia" w:ascii="Times New Roman" w:hAnsi="Times New Roman" w:eastAsia="仿宋_GB2312" w:cs="仿宋_GB2312"/>
          <w:b w:val="0"/>
          <w:bCs w:val="0"/>
          <w:spacing w:val="0"/>
          <w:sz w:val="30"/>
          <w:szCs w:val="30"/>
          <w:u w:val="none"/>
          <w:lang w:val="en-US" w:eastAsia="zh-CN"/>
        </w:rPr>
        <w:t>有下列情形之一的，生产经营单位应当及时向属地人民政府（管委会）及负有安全生产监督管理职责的部门报告：</w:t>
      </w:r>
    </w:p>
    <w:p w14:paraId="1378FF2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（一）事故隐患无法及时消除并涉及相邻地区、单位，或者可能危及公共安全的；</w:t>
      </w:r>
    </w:p>
    <w:p w14:paraId="4F2BDA9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eastAsia="仿宋_GB2312" w:cs="仿宋_GB2312"/>
          <w:b w:val="0"/>
          <w:bCs w:val="0"/>
          <w:spacing w:val="0"/>
          <w:sz w:val="30"/>
          <w:szCs w:val="30"/>
          <w:u w:val="none"/>
          <w:lang w:val="en-US" w:eastAsia="zh-CN"/>
        </w:rPr>
        <w:t>（二）因其他单位的原因造成或者可能造成事故隐患的。</w:t>
      </w:r>
    </w:p>
    <w:p w14:paraId="30A3AB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eastAsia="仿宋_GB2312" w:cs="仿宋_GB2312"/>
          <w:b w:val="0"/>
          <w:bCs w:val="0"/>
          <w:spacing w:val="0"/>
          <w:sz w:val="30"/>
          <w:szCs w:val="30"/>
          <w:u w:val="none"/>
          <w:lang w:val="en-US" w:eastAsia="zh-CN"/>
        </w:rPr>
        <w:t>必要时，生产经营单位应当立即通知相邻地区和有关单位，并在现场设置安全警示标志。</w:t>
      </w:r>
    </w:p>
    <w:p w14:paraId="27E1526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黑体" w:cs="黑体"/>
          <w:b w:val="0"/>
          <w:bCs w:val="0"/>
          <w:spacing w:val="0"/>
          <w:sz w:val="30"/>
          <w:szCs w:val="30"/>
          <w:u w:val="none"/>
          <w:lang w:val="en-US" w:eastAsia="zh-CN"/>
        </w:rPr>
        <w:t xml:space="preserve">第二十一条  </w:t>
      </w:r>
      <w:r>
        <w:rPr>
          <w:rFonts w:hint="eastAsia" w:ascii="Times New Roman" w:hAnsi="Times New Roman" w:eastAsia="仿宋_GB2312" w:cs="仿宋_GB2312"/>
          <w:b w:val="0"/>
          <w:bCs w:val="0"/>
          <w:spacing w:val="0"/>
          <w:sz w:val="30"/>
          <w:szCs w:val="30"/>
          <w:u w:val="none"/>
          <w:lang w:val="en-US" w:eastAsia="zh-CN"/>
        </w:rPr>
        <w:t>对重大事故隐患，生产经营单位应当依法及时向负有安全生产监督管理职责的部门报告。</w:t>
      </w:r>
    </w:p>
    <w:p w14:paraId="2C8003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重大事故隐患的治理方案、治理结果等情况应当及时向所在地负有安全生产监督管理职责的部门报告。</w:t>
      </w:r>
    </w:p>
    <w:p w14:paraId="42EA544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黑体" w:cs="黑体"/>
          <w:b w:val="0"/>
          <w:bCs w:val="0"/>
          <w:spacing w:val="0"/>
          <w:sz w:val="30"/>
          <w:szCs w:val="30"/>
          <w:u w:val="none"/>
          <w:lang w:val="en-US" w:eastAsia="zh-CN"/>
        </w:rPr>
        <w:t xml:space="preserve">第二十二条  </w:t>
      </w:r>
      <w:r>
        <w:rPr>
          <w:rFonts w:hint="eastAsia" w:ascii="Times New Roman" w:hAnsi="Times New Roman" w:eastAsia="仿宋_GB2312" w:cs="仿宋_GB2312"/>
          <w:b w:val="0"/>
          <w:bCs w:val="0"/>
          <w:spacing w:val="0"/>
          <w:sz w:val="30"/>
          <w:szCs w:val="30"/>
          <w:u w:val="none"/>
          <w:lang w:val="en-US" w:eastAsia="zh-CN"/>
        </w:rPr>
        <w:t>生产经营单位应当建立事故隐患排查治理台账，如实记录事故隐患排查人员、时间、具体部位或者场所、具体情形、报送情况和监控措施。</w:t>
      </w:r>
    </w:p>
    <w:p w14:paraId="25FA928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重大事故隐患还应当建立专门的信息档案，保存事故隐患治理过程中形成的风险评估情况、治理方案、复查验收报告以及报送情况等各种记录和文件。</w:t>
      </w:r>
    </w:p>
    <w:p w14:paraId="44A6D65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p>
    <w:p w14:paraId="17184F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Times New Roman" w:hAnsi="Times New Roman" w:eastAsia="黑体" w:cs="黑体"/>
          <w:b w:val="0"/>
          <w:bCs w:val="0"/>
          <w:spacing w:val="0"/>
          <w:sz w:val="30"/>
          <w:szCs w:val="30"/>
          <w:u w:val="none"/>
          <w:lang w:val="en-US" w:eastAsia="zh-CN"/>
        </w:rPr>
      </w:pPr>
      <w:r>
        <w:rPr>
          <w:rFonts w:hint="eastAsia" w:ascii="Times New Roman" w:hAnsi="Times New Roman" w:eastAsia="黑体" w:cs="黑体"/>
          <w:b w:val="0"/>
          <w:bCs w:val="0"/>
          <w:spacing w:val="0"/>
          <w:sz w:val="30"/>
          <w:szCs w:val="30"/>
          <w:u w:val="none"/>
          <w:lang w:val="en-US" w:eastAsia="zh-CN"/>
        </w:rPr>
        <w:t>第三章　监督管理</w:t>
      </w:r>
    </w:p>
    <w:p w14:paraId="6003076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p>
    <w:p w14:paraId="5BF921C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黑体" w:cs="黑体"/>
          <w:b w:val="0"/>
          <w:bCs w:val="0"/>
          <w:spacing w:val="0"/>
          <w:sz w:val="30"/>
          <w:szCs w:val="30"/>
          <w:u w:val="none"/>
          <w:lang w:val="en-US" w:eastAsia="zh-CN"/>
        </w:rPr>
        <w:t xml:space="preserve">第二十三条  </w:t>
      </w:r>
      <w:r>
        <w:rPr>
          <w:rFonts w:hint="eastAsia" w:ascii="Times New Roman" w:hAnsi="Times New Roman" w:eastAsia="仿宋_GB2312" w:cs="仿宋_GB2312"/>
          <w:b w:val="0"/>
          <w:bCs w:val="0"/>
          <w:spacing w:val="0"/>
          <w:sz w:val="30"/>
          <w:szCs w:val="30"/>
          <w:u w:val="none"/>
          <w:lang w:val="en-US" w:eastAsia="zh-CN"/>
        </w:rPr>
        <w:t>市、旗县区两级人民政府（管委会）负有安全生产监督管理职责的部门和苏木乡镇人民政府、街道办事处以及功能区管理机构，应当加强协作配合和信息沟通，组织开展对生产经营单位事故隐患排查治理情况的监督检查，依法查处事故隐患排查治理违法行为。苏木乡镇人民政府、街道办事处以及功能区管理机构，应当将排查出的重大事故隐患及时报告属地人民政府（管委会）负有安全生产监督管理职责的部门。</w:t>
      </w:r>
    </w:p>
    <w:p w14:paraId="4BEBE65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黑体" w:cs="黑体"/>
          <w:b w:val="0"/>
          <w:bCs w:val="0"/>
          <w:spacing w:val="0"/>
          <w:sz w:val="30"/>
          <w:szCs w:val="30"/>
          <w:u w:val="none"/>
          <w:lang w:val="en-US" w:eastAsia="zh-CN"/>
        </w:rPr>
        <w:t xml:space="preserve">第二十四条  </w:t>
      </w:r>
      <w:r>
        <w:rPr>
          <w:rFonts w:hint="eastAsia" w:ascii="Times New Roman" w:hAnsi="Times New Roman" w:eastAsia="仿宋_GB2312" w:cs="仿宋_GB2312"/>
          <w:b w:val="0"/>
          <w:bCs w:val="0"/>
          <w:spacing w:val="0"/>
          <w:sz w:val="30"/>
          <w:szCs w:val="30"/>
          <w:u w:val="none"/>
          <w:lang w:val="en-US" w:eastAsia="zh-CN"/>
        </w:rPr>
        <w:t>市、旗县区两级人民政府（管委会）负有安全生产监督管理职责的部门对生产经营单位开展安全生产监督检查（包括各类日常检查、安全生产大检查、专项检查、专家会诊以及党政领导带队检查等多种检查形式），可以聘请专家协助进行。专家（组）在检查中认为是重大事故隐患，经判定确属重大事故隐患的，每条给予2万元资金奖励（已经被发现的重大事故隐患除外）。</w:t>
      </w:r>
    </w:p>
    <w:p w14:paraId="1D33C14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黑体" w:cs="黑体"/>
          <w:b w:val="0"/>
          <w:bCs w:val="0"/>
          <w:spacing w:val="0"/>
          <w:sz w:val="30"/>
          <w:szCs w:val="30"/>
          <w:u w:val="none"/>
          <w:lang w:val="en-US" w:eastAsia="zh-CN"/>
        </w:rPr>
        <w:t xml:space="preserve">第二十五条  </w:t>
      </w:r>
      <w:r>
        <w:rPr>
          <w:rFonts w:hint="eastAsia" w:ascii="Times New Roman" w:hAnsi="Times New Roman" w:eastAsia="仿宋_GB2312" w:cs="仿宋_GB2312"/>
          <w:b w:val="0"/>
          <w:bCs w:val="0"/>
          <w:spacing w:val="0"/>
          <w:sz w:val="30"/>
          <w:szCs w:val="30"/>
          <w:u w:val="none"/>
          <w:lang w:val="en-US" w:eastAsia="zh-CN"/>
        </w:rPr>
        <w:t>负有安全生产监督管理职责的部门发现生产经营单位存在事故隐患的，应当依据《安全生产法》第六十五条、第七十条，以及其他法律法规规定采取相应的处理措施。</w:t>
      </w:r>
    </w:p>
    <w:p w14:paraId="6E3198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黑体" w:cs="黑体"/>
          <w:b w:val="0"/>
          <w:bCs w:val="0"/>
          <w:spacing w:val="0"/>
          <w:sz w:val="30"/>
          <w:szCs w:val="30"/>
          <w:u w:val="none"/>
          <w:lang w:val="en-US" w:eastAsia="zh-CN"/>
        </w:rPr>
        <w:t xml:space="preserve">第二十六条  </w:t>
      </w:r>
      <w:r>
        <w:rPr>
          <w:rFonts w:hint="eastAsia" w:ascii="Times New Roman" w:hAnsi="Times New Roman" w:eastAsia="仿宋_GB2312" w:cs="仿宋_GB2312"/>
          <w:b w:val="0"/>
          <w:bCs w:val="0"/>
          <w:spacing w:val="0"/>
          <w:sz w:val="30"/>
          <w:szCs w:val="30"/>
          <w:u w:val="none"/>
          <w:lang w:val="en-US" w:eastAsia="zh-CN"/>
        </w:rPr>
        <w:t>苏木乡镇人民政府、街道办事处以及功能区管理机构发现生产经营单位存在事故隐患的，应当责令立即排除；生产经营单位拒不排除或者不能立即排除的，应当及时报告属地负有安全生产监督管理职责的部门。</w:t>
      </w:r>
    </w:p>
    <w:p w14:paraId="5EAAA06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接到报告后，负有安全生产监督管理职责的部门应当及时予以处理和答复。</w:t>
      </w:r>
    </w:p>
    <w:p w14:paraId="66ECF50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黑体" w:cs="黑体"/>
          <w:b w:val="0"/>
          <w:bCs w:val="0"/>
          <w:spacing w:val="0"/>
          <w:sz w:val="30"/>
          <w:szCs w:val="30"/>
          <w:u w:val="none"/>
          <w:lang w:val="en-US" w:eastAsia="zh-CN"/>
        </w:rPr>
        <w:t xml:space="preserve">第二十七条  </w:t>
      </w:r>
      <w:r>
        <w:rPr>
          <w:rFonts w:hint="eastAsia" w:ascii="Times New Roman" w:hAnsi="Times New Roman" w:eastAsia="仿宋_GB2312" w:cs="仿宋_GB2312"/>
          <w:b w:val="0"/>
          <w:bCs w:val="0"/>
          <w:spacing w:val="0"/>
          <w:sz w:val="30"/>
          <w:szCs w:val="30"/>
          <w:u w:val="none"/>
          <w:lang w:val="en-US" w:eastAsia="zh-CN"/>
        </w:rPr>
        <w:t>下列重大事故隐患，由属地人民政府（管委会）及其负有安全生产监督管理职责的部门按照职责分工负责治理：</w:t>
      </w:r>
    </w:p>
    <w:p w14:paraId="52F4A3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（一）公共设施存在的重大事故隐患；</w:t>
      </w:r>
    </w:p>
    <w:p w14:paraId="36FCAB5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（二）企业破产后存在的重大事故隐患；</w:t>
      </w:r>
    </w:p>
    <w:p w14:paraId="5106C0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（三）无法明确责任单位的重大事故隐患。</w:t>
      </w:r>
    </w:p>
    <w:p w14:paraId="02EAA9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黑体" w:cs="黑体"/>
          <w:b w:val="0"/>
          <w:bCs w:val="0"/>
          <w:spacing w:val="0"/>
          <w:sz w:val="30"/>
          <w:szCs w:val="30"/>
          <w:u w:val="none"/>
          <w:lang w:val="en-US" w:eastAsia="zh-CN"/>
        </w:rPr>
        <w:t xml:space="preserve">第二十八条  </w:t>
      </w:r>
      <w:r>
        <w:rPr>
          <w:rFonts w:hint="eastAsia" w:ascii="Times New Roman" w:hAnsi="Times New Roman" w:eastAsia="仿宋_GB2312" w:cs="仿宋_GB2312"/>
          <w:b w:val="0"/>
          <w:bCs w:val="0"/>
          <w:spacing w:val="0"/>
          <w:sz w:val="30"/>
          <w:szCs w:val="30"/>
          <w:u w:val="none"/>
          <w:lang w:val="en-US" w:eastAsia="zh-CN"/>
        </w:rPr>
        <w:t>重大事故隐患有下列情形之一的，旗县区人民政府</w:t>
      </w:r>
      <w:r>
        <w:rPr>
          <w:rFonts w:hint="eastAsia" w:ascii="Times New Roman" w:hAnsi="Times New Roman" w:cs="仿宋_GB2312"/>
          <w:b w:val="0"/>
          <w:bCs w:val="0"/>
          <w:spacing w:val="0"/>
          <w:sz w:val="30"/>
          <w:szCs w:val="30"/>
          <w:u w:val="none"/>
          <w:lang w:val="en-US" w:eastAsia="zh-CN"/>
        </w:rPr>
        <w:t>（</w:t>
      </w:r>
      <w:r>
        <w:rPr>
          <w:rFonts w:hint="eastAsia" w:ascii="Times New Roman" w:hAnsi="Times New Roman" w:eastAsia="仿宋_GB2312" w:cs="仿宋_GB2312"/>
          <w:b w:val="0"/>
          <w:bCs w:val="0"/>
          <w:spacing w:val="0"/>
          <w:sz w:val="30"/>
          <w:szCs w:val="30"/>
          <w:u w:val="none"/>
          <w:lang w:val="en-US" w:eastAsia="zh-CN"/>
        </w:rPr>
        <w:t>管委会</w:t>
      </w:r>
      <w:r>
        <w:rPr>
          <w:rFonts w:hint="eastAsia" w:ascii="Times New Roman" w:hAnsi="Times New Roman" w:cs="仿宋_GB2312"/>
          <w:b w:val="0"/>
          <w:bCs w:val="0"/>
          <w:spacing w:val="0"/>
          <w:sz w:val="30"/>
          <w:szCs w:val="30"/>
          <w:u w:val="none"/>
          <w:lang w:val="en-US" w:eastAsia="zh-CN"/>
        </w:rPr>
        <w:t>）</w:t>
      </w:r>
      <w:r>
        <w:rPr>
          <w:rFonts w:hint="eastAsia" w:ascii="Times New Roman" w:hAnsi="Times New Roman" w:eastAsia="仿宋_GB2312" w:cs="仿宋_GB2312"/>
          <w:b w:val="0"/>
          <w:bCs w:val="0"/>
          <w:spacing w:val="0"/>
          <w:sz w:val="30"/>
          <w:szCs w:val="30"/>
          <w:u w:val="none"/>
          <w:lang w:val="en-US" w:eastAsia="zh-CN"/>
        </w:rPr>
        <w:t>及其负有安全生产监督管理职责的部门应当挂牌督办：</w:t>
      </w:r>
    </w:p>
    <w:p w14:paraId="2B8C2F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（一）危害程度高、整改难度大、整改时间长，需要全部或者局部停产停业治理方能排除的；</w:t>
      </w:r>
    </w:p>
    <w:p w14:paraId="24E157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（二）因外部因素影响致使生产经营单位自身难以排除的；</w:t>
      </w:r>
    </w:p>
    <w:p w14:paraId="08BDDA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（三）可能造成重大社会影响的。</w:t>
      </w:r>
    </w:p>
    <w:p w14:paraId="2F2B00C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黑体" w:cs="黑体"/>
          <w:b w:val="0"/>
          <w:bCs w:val="0"/>
          <w:spacing w:val="0"/>
          <w:sz w:val="30"/>
          <w:szCs w:val="30"/>
          <w:u w:val="none"/>
          <w:lang w:val="en-US" w:eastAsia="zh-CN"/>
        </w:rPr>
        <w:t xml:space="preserve">第二十九条  </w:t>
      </w:r>
      <w:r>
        <w:rPr>
          <w:rFonts w:hint="eastAsia" w:ascii="Times New Roman" w:hAnsi="Times New Roman" w:eastAsia="仿宋_GB2312" w:cs="仿宋_GB2312"/>
          <w:b w:val="0"/>
          <w:bCs w:val="0"/>
          <w:spacing w:val="0"/>
          <w:sz w:val="30"/>
          <w:szCs w:val="30"/>
          <w:u w:val="none"/>
          <w:lang w:val="en-US" w:eastAsia="zh-CN"/>
        </w:rPr>
        <w:t>生产经营单位因存在重大事故隐患被责令局部或者全部停产停业的，应当按照规定经复查验收合格后，方可向负有安全生产监督管理职责的部门提出恢复生产经营的书面申请。</w:t>
      </w:r>
    </w:p>
    <w:p w14:paraId="4D2B31F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负有安全生产监督管理职责的部门应当自收到申请之日起3个工作日内组织现场审查。审查合格的，对事故隐患进行核销，同意恢复生产经营；审查不合格的，不得恢复生产经营。</w:t>
      </w:r>
    </w:p>
    <w:p w14:paraId="5611C1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黑体" w:cs="黑体"/>
          <w:b w:val="0"/>
          <w:bCs w:val="0"/>
          <w:spacing w:val="0"/>
          <w:sz w:val="30"/>
          <w:szCs w:val="30"/>
          <w:u w:val="none"/>
          <w:lang w:val="en-US" w:eastAsia="zh-CN"/>
        </w:rPr>
        <w:t xml:space="preserve">第三十条  </w:t>
      </w:r>
      <w:r>
        <w:rPr>
          <w:rFonts w:hint="eastAsia" w:ascii="Times New Roman" w:hAnsi="Times New Roman" w:eastAsia="仿宋_GB2312" w:cs="仿宋_GB2312"/>
          <w:b w:val="0"/>
          <w:bCs w:val="0"/>
          <w:spacing w:val="0"/>
          <w:sz w:val="30"/>
          <w:szCs w:val="30"/>
          <w:u w:val="none"/>
          <w:lang w:val="en-US" w:eastAsia="zh-CN"/>
        </w:rPr>
        <w:t>市、旗县区两级应急管理部门应当会同有关部门建立健全生产安全事故隐患排查治理信息系统，实现事故隐患排查治理和监督管理信息化。</w:t>
      </w:r>
    </w:p>
    <w:p w14:paraId="4CA6617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eastAsia="仿宋_GB2312" w:cs="仿宋_GB2312"/>
          <w:b w:val="0"/>
          <w:bCs w:val="0"/>
          <w:spacing w:val="0"/>
          <w:sz w:val="30"/>
          <w:szCs w:val="30"/>
          <w:u w:val="none"/>
          <w:lang w:val="en-US" w:eastAsia="zh-CN"/>
        </w:rPr>
        <w:t>负有安全生产监督管理职责的部门应当依托事故隐患排查治理信息系统，对生产经营单位报送的事故隐患排查治理信息进行汇总、分析、研判，及时发布预警信息，为生产经营单位提供指导和服务。</w:t>
      </w:r>
    </w:p>
    <w:p w14:paraId="56F2FB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p>
    <w:p w14:paraId="4495D48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outlineLvl w:val="9"/>
        <w:rPr>
          <w:rFonts w:hint="eastAsia" w:ascii="Times New Roman" w:hAnsi="Times New Roman" w:eastAsia="黑体" w:cs="黑体"/>
          <w:b w:val="0"/>
          <w:bCs w:val="0"/>
          <w:spacing w:val="0"/>
          <w:sz w:val="30"/>
          <w:szCs w:val="30"/>
          <w:u w:val="none"/>
          <w:lang w:val="en-US" w:eastAsia="zh-CN"/>
        </w:rPr>
      </w:pPr>
      <w:r>
        <w:rPr>
          <w:rFonts w:hint="eastAsia" w:eastAsia="黑体" w:cs="黑体"/>
          <w:b w:val="0"/>
          <w:bCs w:val="0"/>
          <w:spacing w:val="0"/>
          <w:sz w:val="30"/>
          <w:szCs w:val="30"/>
          <w:u w:val="none"/>
          <w:lang w:val="en-US" w:eastAsia="zh-CN"/>
        </w:rPr>
        <w:t xml:space="preserve">第四章  </w:t>
      </w:r>
      <w:r>
        <w:rPr>
          <w:rFonts w:hint="eastAsia" w:ascii="Times New Roman" w:hAnsi="Times New Roman" w:eastAsia="黑体" w:cs="黑体"/>
          <w:b w:val="0"/>
          <w:bCs w:val="0"/>
          <w:spacing w:val="0"/>
          <w:sz w:val="30"/>
          <w:szCs w:val="30"/>
          <w:u w:val="none"/>
          <w:lang w:val="en-US" w:eastAsia="zh-CN"/>
        </w:rPr>
        <w:t>责任追究</w:t>
      </w:r>
    </w:p>
    <w:p w14:paraId="753195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黑体" w:cs="黑体"/>
          <w:b w:val="0"/>
          <w:bCs w:val="0"/>
          <w:spacing w:val="0"/>
          <w:sz w:val="30"/>
          <w:szCs w:val="30"/>
          <w:u w:val="none"/>
          <w:lang w:val="en-US" w:eastAsia="zh-CN"/>
        </w:rPr>
      </w:pPr>
    </w:p>
    <w:p w14:paraId="04BD5EB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黑体" w:cs="黑体"/>
          <w:b w:val="0"/>
          <w:bCs w:val="0"/>
          <w:spacing w:val="0"/>
          <w:sz w:val="30"/>
          <w:szCs w:val="30"/>
          <w:u w:val="none"/>
          <w:lang w:val="en-US" w:eastAsia="zh-CN"/>
        </w:rPr>
        <w:t xml:space="preserve">第三十一条  </w:t>
      </w:r>
      <w:r>
        <w:rPr>
          <w:rFonts w:hint="eastAsia" w:ascii="Times New Roman" w:hAnsi="Times New Roman" w:eastAsia="仿宋_GB2312" w:cs="仿宋_GB2312"/>
          <w:b w:val="0"/>
          <w:bCs w:val="0"/>
          <w:spacing w:val="0"/>
          <w:sz w:val="30"/>
          <w:szCs w:val="30"/>
          <w:u w:val="none"/>
          <w:lang w:val="en-US" w:eastAsia="zh-CN"/>
        </w:rPr>
        <w:t>市、旗县区两级人民政府（管委会）及其有关部门、单位不依法履行职责，对发现本行政区域或者本行业、领域内存在重大事故隐患，未进行监督整改的，依照有关规定追究有关负责人的责任。</w:t>
      </w:r>
    </w:p>
    <w:p w14:paraId="40CECC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黑体" w:cs="黑体"/>
          <w:b w:val="0"/>
          <w:bCs w:val="0"/>
          <w:spacing w:val="0"/>
          <w:sz w:val="30"/>
          <w:szCs w:val="30"/>
          <w:u w:val="none"/>
          <w:lang w:val="en-US" w:eastAsia="zh-CN"/>
        </w:rPr>
        <w:t xml:space="preserve">第三十二条  </w:t>
      </w:r>
      <w:r>
        <w:rPr>
          <w:rFonts w:hint="eastAsia" w:ascii="Times New Roman" w:hAnsi="Times New Roman" w:eastAsia="仿宋_GB2312" w:cs="仿宋_GB2312"/>
          <w:b w:val="0"/>
          <w:bCs w:val="0"/>
          <w:spacing w:val="0"/>
          <w:sz w:val="30"/>
          <w:szCs w:val="30"/>
          <w:u w:val="none"/>
          <w:lang w:val="en-US" w:eastAsia="zh-CN"/>
        </w:rPr>
        <w:t>市、旗县区两级人民政府（管委会）及其有关部门、单位，有下列情形之一的，对直接负责的主管人员和其他直接责任人员依法给予处分；构成犯罪的，依法追究刑事责任:</w:t>
      </w:r>
    </w:p>
    <w:p w14:paraId="3879328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（一）对发现的事故隐患，不依法及时处理的；</w:t>
      </w:r>
    </w:p>
    <w:p w14:paraId="537EB7B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（二）未按照规定治理公共设施等存在的重大事故隐患的；</w:t>
      </w:r>
    </w:p>
    <w:p w14:paraId="028745E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仿宋_GB2312" w:cs="仿宋_GB2312"/>
          <w:b w:val="0"/>
          <w:bCs w:val="0"/>
          <w:spacing w:val="0"/>
          <w:sz w:val="30"/>
          <w:szCs w:val="30"/>
          <w:u w:val="none"/>
          <w:lang w:val="en-US" w:eastAsia="zh-CN"/>
        </w:rPr>
        <w:t>（三）其他玩忽职守、滥用职权、徇私舞弊的行为。</w:t>
      </w:r>
    </w:p>
    <w:p w14:paraId="1894A9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黑体" w:cs="黑体"/>
          <w:b w:val="0"/>
          <w:bCs w:val="0"/>
          <w:spacing w:val="0"/>
          <w:sz w:val="30"/>
          <w:szCs w:val="30"/>
          <w:u w:val="none"/>
          <w:lang w:val="en-US" w:eastAsia="zh-CN"/>
        </w:rPr>
        <w:t xml:space="preserve">第三十三条  </w:t>
      </w:r>
      <w:r>
        <w:rPr>
          <w:rFonts w:hint="eastAsia" w:ascii="Times New Roman" w:hAnsi="Times New Roman" w:eastAsia="仿宋_GB2312" w:cs="仿宋_GB2312"/>
          <w:b w:val="0"/>
          <w:bCs w:val="0"/>
          <w:spacing w:val="0"/>
          <w:sz w:val="30"/>
          <w:szCs w:val="30"/>
          <w:u w:val="none"/>
          <w:lang w:val="en-US" w:eastAsia="zh-CN"/>
        </w:rPr>
        <w:t>生产经营单位的主要负责人未履行隐患排查治理职责的，依照《中华人民共和国安全生产法》第九十四条、第九十五条实施行政处罚；构成犯罪的，依法追究刑事责任。</w:t>
      </w:r>
    </w:p>
    <w:p w14:paraId="4F6ED6B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黑体" w:cs="黑体"/>
          <w:b w:val="0"/>
          <w:bCs w:val="0"/>
          <w:spacing w:val="0"/>
          <w:sz w:val="30"/>
          <w:szCs w:val="30"/>
          <w:u w:val="none"/>
          <w:lang w:val="en-US" w:eastAsia="zh-CN"/>
        </w:rPr>
        <w:t xml:space="preserve">第三十四条  </w:t>
      </w:r>
      <w:r>
        <w:rPr>
          <w:rFonts w:hint="eastAsia" w:ascii="Times New Roman" w:hAnsi="Times New Roman" w:eastAsia="仿宋_GB2312" w:cs="仿宋_GB2312"/>
          <w:b w:val="0"/>
          <w:bCs w:val="0"/>
          <w:spacing w:val="0"/>
          <w:sz w:val="30"/>
          <w:szCs w:val="30"/>
          <w:u w:val="none"/>
          <w:lang w:val="en-US" w:eastAsia="zh-CN"/>
        </w:rPr>
        <w:t>生产经营单位的其他负责人和安全生产管理人员未履行隐患排查治理职责的，依照《中华人民共和国安全生产法》第九十六条实施行政处罚；构成犯罪的，依法追究刑事责任。</w:t>
      </w:r>
    </w:p>
    <w:p w14:paraId="6B63015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3"/>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黑体" w:cs="黑体"/>
          <w:b w:val="0"/>
          <w:bCs w:val="0"/>
          <w:spacing w:val="0"/>
          <w:sz w:val="30"/>
          <w:szCs w:val="30"/>
          <w:u w:val="none"/>
          <w:lang w:val="en-US" w:eastAsia="zh-CN"/>
        </w:rPr>
        <w:t xml:space="preserve">第三十五条  </w:t>
      </w:r>
      <w:r>
        <w:rPr>
          <w:rFonts w:hint="eastAsia" w:ascii="Times New Roman" w:hAnsi="Times New Roman" w:eastAsia="仿宋_GB2312" w:cs="仿宋_GB2312"/>
          <w:b w:val="0"/>
          <w:bCs w:val="0"/>
          <w:spacing w:val="-3"/>
          <w:sz w:val="30"/>
          <w:szCs w:val="30"/>
          <w:u w:val="none"/>
          <w:lang w:val="en-US" w:eastAsia="zh-CN"/>
        </w:rPr>
        <w:t>生产经营单位未按照规定建立事故隐患排查治理制度的，依据《中华人民共和国安全生产法》第一百零一条对生产经营单位及其直接负责的主管人员、其他直接责任人员实施行政处罚。</w:t>
      </w:r>
    </w:p>
    <w:p w14:paraId="7E306B1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黑体" w:cs="黑体"/>
          <w:b w:val="0"/>
          <w:bCs w:val="0"/>
          <w:spacing w:val="0"/>
          <w:sz w:val="30"/>
          <w:szCs w:val="30"/>
          <w:u w:val="none"/>
          <w:lang w:val="en-US" w:eastAsia="zh-CN"/>
        </w:rPr>
        <w:t xml:space="preserve">第三十六条  </w:t>
      </w:r>
      <w:r>
        <w:rPr>
          <w:rFonts w:hint="eastAsia" w:ascii="Times New Roman" w:hAnsi="Times New Roman" w:eastAsia="仿宋_GB2312" w:cs="仿宋_GB2312"/>
          <w:b w:val="0"/>
          <w:bCs w:val="0"/>
          <w:spacing w:val="0"/>
          <w:sz w:val="30"/>
          <w:szCs w:val="30"/>
          <w:u w:val="none"/>
          <w:lang w:val="en-US" w:eastAsia="zh-CN"/>
        </w:rPr>
        <w:t>生产经营单位未按照规定进行定期排查或者专项排查的，依据《内蒙古自治区安全生产条例》第六十五条以及其他相关法律法规对生产经营单位及其直接负责的主管人员、其他直接责任人员实施行政处罚。</w:t>
      </w:r>
    </w:p>
    <w:p w14:paraId="20F0F2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黑体" w:cs="黑体"/>
          <w:b w:val="0"/>
          <w:bCs w:val="0"/>
          <w:spacing w:val="0"/>
          <w:sz w:val="30"/>
          <w:szCs w:val="30"/>
          <w:u w:val="none"/>
          <w:lang w:val="en-US" w:eastAsia="zh-CN"/>
        </w:rPr>
        <w:t xml:space="preserve">第三十七条  </w:t>
      </w:r>
      <w:r>
        <w:rPr>
          <w:rFonts w:hint="eastAsia" w:ascii="Times New Roman" w:hAnsi="Times New Roman" w:eastAsia="仿宋_GB2312" w:cs="仿宋_GB2312"/>
          <w:b w:val="0"/>
          <w:bCs w:val="0"/>
          <w:spacing w:val="0"/>
          <w:sz w:val="30"/>
          <w:szCs w:val="30"/>
          <w:u w:val="none"/>
          <w:lang w:val="en-US" w:eastAsia="zh-CN"/>
        </w:rPr>
        <w:t>生产经营单位未按照规定建立事故隐患排查治理台账或者重大事故隐患排查治理信息档案的，依据《中华人民共和国安全生产法》第九十七条对生产经营单位及其直接负责的主管人员、其他直接责任人员实施行政处罚；构成犯罪的，依法追究刑事责任。</w:t>
      </w:r>
    </w:p>
    <w:p w14:paraId="42F20FA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黑体" w:cs="黑体"/>
          <w:b w:val="0"/>
          <w:bCs w:val="0"/>
          <w:spacing w:val="0"/>
          <w:sz w:val="30"/>
          <w:szCs w:val="30"/>
          <w:u w:val="none"/>
          <w:lang w:val="en-US" w:eastAsia="zh-CN"/>
        </w:rPr>
        <w:t xml:space="preserve">第三十八条  </w:t>
      </w:r>
      <w:r>
        <w:rPr>
          <w:rFonts w:hint="eastAsia" w:ascii="Times New Roman" w:hAnsi="Times New Roman" w:eastAsia="仿宋_GB2312" w:cs="仿宋_GB2312"/>
          <w:b w:val="0"/>
          <w:bCs w:val="0"/>
          <w:spacing w:val="0"/>
          <w:sz w:val="30"/>
          <w:szCs w:val="30"/>
          <w:u w:val="none"/>
          <w:lang w:val="en-US" w:eastAsia="zh-CN"/>
        </w:rPr>
        <w:t>生产经营单位重大事故隐患排查治理情况未按照规定报告的，依据《中华人民共和国安全生产法》第一百零一条实施行政处罚。</w:t>
      </w:r>
    </w:p>
    <w:p w14:paraId="55AF86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黑体" w:cs="黑体"/>
          <w:b w:val="0"/>
          <w:bCs w:val="0"/>
          <w:spacing w:val="0"/>
          <w:sz w:val="30"/>
          <w:szCs w:val="30"/>
          <w:u w:val="none"/>
          <w:lang w:val="en-US" w:eastAsia="zh-CN"/>
        </w:rPr>
        <w:t xml:space="preserve">第三十九条  </w:t>
      </w:r>
      <w:r>
        <w:rPr>
          <w:rFonts w:hint="eastAsia" w:ascii="Times New Roman" w:hAnsi="Times New Roman" w:eastAsia="仿宋_GB2312" w:cs="仿宋_GB2312"/>
          <w:b w:val="0"/>
          <w:bCs w:val="0"/>
          <w:spacing w:val="0"/>
          <w:sz w:val="30"/>
          <w:szCs w:val="30"/>
          <w:u w:val="none"/>
          <w:lang w:val="en-US" w:eastAsia="zh-CN"/>
        </w:rPr>
        <w:t>生产经营单位未采取措施消除事故隐患的，依据《中华人民共和国安全生产法》第一百零二条对生产经营单位及其直接负责的主管人员、其他直接责任人员实施行政处罚；构成犯罪的，依法追究刑事责任。</w:t>
      </w:r>
    </w:p>
    <w:p w14:paraId="0486683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黑体" w:cs="黑体"/>
          <w:b w:val="0"/>
          <w:bCs w:val="0"/>
          <w:spacing w:val="0"/>
          <w:sz w:val="30"/>
          <w:szCs w:val="30"/>
          <w:u w:val="none"/>
          <w:lang w:val="en-US" w:eastAsia="zh-CN"/>
        </w:rPr>
        <w:t xml:space="preserve">第四十条  </w:t>
      </w:r>
      <w:r>
        <w:rPr>
          <w:rFonts w:hint="eastAsia" w:ascii="Times New Roman" w:hAnsi="Times New Roman" w:eastAsia="仿宋_GB2312" w:cs="仿宋_GB2312"/>
          <w:b w:val="0"/>
          <w:bCs w:val="0"/>
          <w:spacing w:val="0"/>
          <w:sz w:val="30"/>
          <w:szCs w:val="30"/>
          <w:u w:val="none"/>
          <w:lang w:val="en-US" w:eastAsia="zh-CN"/>
        </w:rPr>
        <w:t>生产经营单位因存在重大事故隐患被依法责令停产停业、停止施工、停止使用有关设备、设施、场所或者立即采取排除危险的整改措施，而拒不执行，具有发生重大伤亡事故或者其他严重后果的现实危险的，依据《中华人民共和国刑法修正案（十一）》第一百三十四条之一等规定，移交公安机关，追究有关人员的责任。</w:t>
      </w:r>
    </w:p>
    <w:p w14:paraId="0AE18BB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eastAsia="黑体" w:cs="黑体"/>
          <w:b w:val="0"/>
          <w:bCs w:val="0"/>
          <w:spacing w:val="0"/>
          <w:sz w:val="30"/>
          <w:szCs w:val="30"/>
          <w:u w:val="none"/>
          <w:lang w:val="en-US" w:eastAsia="zh-CN"/>
        </w:rPr>
        <w:t xml:space="preserve">第四十一条  </w:t>
      </w:r>
      <w:r>
        <w:rPr>
          <w:rFonts w:hint="eastAsia" w:ascii="Times New Roman" w:hAnsi="Times New Roman" w:eastAsia="仿宋_GB2312" w:cs="仿宋_GB2312"/>
          <w:b w:val="0"/>
          <w:bCs w:val="0"/>
          <w:spacing w:val="0"/>
          <w:sz w:val="30"/>
          <w:szCs w:val="30"/>
          <w:u w:val="none"/>
          <w:lang w:val="en-US" w:eastAsia="zh-CN"/>
        </w:rPr>
        <w:t>办法涉及的行政处罚，由负有安全生产监督管理职责的部门按照职责分工决定。</w:t>
      </w:r>
    </w:p>
    <w:p w14:paraId="792B04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p>
    <w:p w14:paraId="240323B7">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Times New Roman" w:hAnsi="Times New Roman" w:eastAsia="黑体" w:cs="黑体"/>
          <w:b w:val="0"/>
          <w:bCs w:val="0"/>
          <w:spacing w:val="0"/>
          <w:sz w:val="30"/>
          <w:szCs w:val="30"/>
          <w:u w:val="none"/>
          <w:lang w:val="en-US" w:eastAsia="zh-CN"/>
        </w:rPr>
      </w:pPr>
      <w:r>
        <w:rPr>
          <w:rFonts w:hint="eastAsia" w:ascii="Times New Roman" w:hAnsi="Times New Roman" w:eastAsia="黑体" w:cs="黑体"/>
          <w:b w:val="0"/>
          <w:bCs w:val="0"/>
          <w:spacing w:val="0"/>
          <w:sz w:val="30"/>
          <w:szCs w:val="30"/>
          <w:u w:val="none"/>
          <w:lang w:val="en-US" w:eastAsia="zh-CN"/>
        </w:rPr>
        <w:t xml:space="preserve"> 附  则</w:t>
      </w:r>
    </w:p>
    <w:p w14:paraId="2DDC09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黑体" w:cs="黑体"/>
          <w:b w:val="0"/>
          <w:bCs w:val="0"/>
          <w:spacing w:val="0"/>
          <w:sz w:val="30"/>
          <w:szCs w:val="30"/>
          <w:u w:val="none"/>
          <w:lang w:val="en-US" w:eastAsia="zh-CN"/>
        </w:rPr>
      </w:pPr>
    </w:p>
    <w:p w14:paraId="6DB5CB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cs="仿宋_GB2312"/>
          <w:b w:val="0"/>
          <w:bCs w:val="0"/>
          <w:spacing w:val="0"/>
          <w:sz w:val="30"/>
          <w:szCs w:val="30"/>
          <w:u w:val="none"/>
          <w:lang w:val="en-US" w:eastAsia="zh-CN"/>
        </w:rPr>
        <w:t xml:space="preserve">    </w:t>
      </w:r>
      <w:r>
        <w:rPr>
          <w:rFonts w:hint="eastAsia" w:ascii="Times New Roman" w:hAnsi="Times New Roman" w:eastAsia="黑体" w:cs="黑体"/>
          <w:b w:val="0"/>
          <w:bCs w:val="0"/>
          <w:spacing w:val="0"/>
          <w:sz w:val="30"/>
          <w:szCs w:val="30"/>
          <w:u w:val="none"/>
          <w:lang w:val="en-US" w:eastAsia="zh-CN"/>
        </w:rPr>
        <w:t xml:space="preserve">第四十二条  </w:t>
      </w:r>
      <w:r>
        <w:rPr>
          <w:rFonts w:hint="eastAsia" w:ascii="Times New Roman" w:hAnsi="Times New Roman" w:eastAsia="仿宋_GB2312" w:cs="仿宋_GB2312"/>
          <w:b w:val="0"/>
          <w:bCs w:val="0"/>
          <w:spacing w:val="0"/>
          <w:sz w:val="30"/>
          <w:szCs w:val="30"/>
          <w:u w:val="none"/>
          <w:lang w:val="en-US" w:eastAsia="zh-CN"/>
        </w:rPr>
        <w:t>本办法由市应急管理局负责解释。</w:t>
      </w:r>
    </w:p>
    <w:p w14:paraId="25A796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b w:val="0"/>
          <w:bCs w:val="0"/>
          <w:spacing w:val="0"/>
          <w:sz w:val="30"/>
          <w:szCs w:val="30"/>
          <w:u w:val="none"/>
          <w:lang w:val="en-US" w:eastAsia="zh-CN"/>
        </w:rPr>
      </w:pPr>
      <w:r>
        <w:rPr>
          <w:rFonts w:hint="eastAsia" w:ascii="Times New Roman" w:hAnsi="Times New Roman" w:eastAsia="黑体" w:cs="黑体"/>
          <w:b w:val="0"/>
          <w:bCs w:val="0"/>
          <w:spacing w:val="0"/>
          <w:sz w:val="30"/>
          <w:szCs w:val="30"/>
          <w:u w:val="none"/>
          <w:lang w:val="en-US" w:eastAsia="zh-CN"/>
        </w:rPr>
        <w:t xml:space="preserve">第四十三条  </w:t>
      </w:r>
      <w:r>
        <w:rPr>
          <w:rFonts w:hint="eastAsia" w:ascii="Times New Roman" w:hAnsi="Times New Roman" w:eastAsia="仿宋_GB2312" w:cs="仿宋_GB2312"/>
          <w:b w:val="0"/>
          <w:bCs w:val="0"/>
          <w:spacing w:val="0"/>
          <w:sz w:val="30"/>
          <w:szCs w:val="30"/>
          <w:u w:val="none"/>
          <w:lang w:val="en-US" w:eastAsia="zh-CN"/>
        </w:rPr>
        <w:t>本办法自印发之日起试行。　　</w:t>
      </w:r>
    </w:p>
    <w:p w14:paraId="3DC3AE4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仿宋_GB2312" w:cs="仿宋_GB2312"/>
          <w:b w:val="0"/>
          <w:bCs w:val="0"/>
          <w:spacing w:val="0"/>
          <w:sz w:val="30"/>
          <w:szCs w:val="30"/>
          <w:u w:val="none"/>
          <w:lang w:val="en-US" w:eastAsia="zh-CN"/>
        </w:rPr>
      </w:pPr>
    </w:p>
    <w:p w14:paraId="110E0BE8">
      <w:pPr>
        <w:keepNext w:val="0"/>
        <w:keepLines w:val="0"/>
        <w:pageBreakBefore w:val="0"/>
        <w:kinsoku/>
        <w:wordWrap/>
        <w:overflowPunct/>
        <w:topLinePunct w:val="0"/>
        <w:autoSpaceDE/>
        <w:bidi w:val="0"/>
        <w:adjustRightInd/>
        <w:spacing w:line="600" w:lineRule="exact"/>
        <w:ind w:left="0" w:leftChars="0" w:right="0" w:rightChars="0"/>
        <w:jc w:val="both"/>
        <w:textAlignment w:val="auto"/>
        <w:rPr>
          <w:rFonts w:hint="eastAsia" w:ascii="Times New Roman" w:hAnsi="Times New Roman" w:eastAsia="仿宋_GB2312" w:cs="仿宋_GB2312"/>
          <w:b w:val="0"/>
          <w:bCs w:val="0"/>
          <w:sz w:val="30"/>
          <w:szCs w:val="30"/>
        </w:rPr>
      </w:pPr>
    </w:p>
    <w:p w14:paraId="3BC24542">
      <w:pPr>
        <w:keepNext w:val="0"/>
        <w:keepLines w:val="0"/>
        <w:pageBreakBefore w:val="0"/>
        <w:kinsoku/>
        <w:wordWrap/>
        <w:overflowPunct/>
        <w:topLinePunct w:val="0"/>
        <w:autoSpaceDE/>
        <w:bidi w:val="0"/>
        <w:adjustRightInd/>
        <w:spacing w:line="600" w:lineRule="exact"/>
        <w:ind w:left="0" w:leftChars="0" w:right="0" w:rightChars="0"/>
        <w:jc w:val="both"/>
        <w:textAlignment w:val="auto"/>
        <w:rPr>
          <w:rFonts w:hint="eastAsia" w:ascii="Times New Roman" w:hAnsi="Times New Roman" w:eastAsia="仿宋_GB2312" w:cs="仿宋_GB2312"/>
          <w:b w:val="0"/>
          <w:bCs w:val="0"/>
          <w:sz w:val="30"/>
          <w:szCs w:val="30"/>
        </w:rPr>
      </w:pPr>
    </w:p>
    <w:p w14:paraId="1431A158">
      <w:pPr>
        <w:keepNext w:val="0"/>
        <w:keepLines w:val="0"/>
        <w:pageBreakBefore w:val="0"/>
        <w:kinsoku/>
        <w:wordWrap/>
        <w:overflowPunct/>
        <w:topLinePunct w:val="0"/>
        <w:autoSpaceDE/>
        <w:bidi w:val="0"/>
        <w:adjustRightInd/>
        <w:spacing w:line="600" w:lineRule="exact"/>
        <w:ind w:left="0" w:leftChars="0" w:right="0" w:rightChars="0"/>
        <w:jc w:val="both"/>
        <w:textAlignment w:val="auto"/>
        <w:rPr>
          <w:rFonts w:hint="eastAsia" w:ascii="Times New Roman" w:hAnsi="Times New Roman" w:eastAsia="仿宋_GB2312" w:cs="仿宋_GB2312"/>
          <w:b w:val="0"/>
          <w:bCs w:val="0"/>
          <w:sz w:val="30"/>
          <w:szCs w:val="30"/>
        </w:rPr>
      </w:pPr>
    </w:p>
    <w:p w14:paraId="30A90749">
      <w:pPr>
        <w:keepNext w:val="0"/>
        <w:keepLines w:val="0"/>
        <w:pageBreakBefore w:val="0"/>
        <w:kinsoku/>
        <w:wordWrap/>
        <w:overflowPunct/>
        <w:topLinePunct w:val="0"/>
        <w:autoSpaceDE/>
        <w:bidi w:val="0"/>
        <w:adjustRightInd/>
        <w:spacing w:line="600" w:lineRule="exact"/>
        <w:ind w:left="0" w:leftChars="0" w:right="0" w:rightChars="0"/>
        <w:jc w:val="both"/>
        <w:textAlignment w:val="auto"/>
        <w:rPr>
          <w:rFonts w:hint="eastAsia" w:ascii="Times New Roman" w:hAnsi="Times New Roman" w:eastAsia="仿宋_GB2312" w:cs="仿宋_GB2312"/>
          <w:b w:val="0"/>
          <w:bCs w:val="0"/>
          <w:sz w:val="30"/>
          <w:szCs w:val="30"/>
        </w:rPr>
      </w:pPr>
    </w:p>
    <w:p w14:paraId="50198B4D">
      <w:pPr>
        <w:keepNext w:val="0"/>
        <w:keepLines w:val="0"/>
        <w:pageBreakBefore w:val="0"/>
        <w:kinsoku/>
        <w:wordWrap/>
        <w:overflowPunct/>
        <w:topLinePunct w:val="0"/>
        <w:autoSpaceDE/>
        <w:bidi w:val="0"/>
        <w:adjustRightInd/>
        <w:spacing w:line="600" w:lineRule="exact"/>
        <w:ind w:left="0" w:leftChars="0" w:right="0" w:rightChars="0"/>
        <w:jc w:val="both"/>
        <w:textAlignment w:val="auto"/>
        <w:rPr>
          <w:rFonts w:hint="eastAsia" w:ascii="Times New Roman" w:hAnsi="Times New Roman" w:eastAsia="仿宋_GB2312" w:cs="仿宋_GB2312"/>
          <w:b w:val="0"/>
          <w:bCs w:val="0"/>
          <w:sz w:val="30"/>
          <w:szCs w:val="30"/>
        </w:rPr>
      </w:pPr>
    </w:p>
    <w:p w14:paraId="4C6D162A">
      <w:pPr>
        <w:keepNext w:val="0"/>
        <w:keepLines w:val="0"/>
        <w:pageBreakBefore w:val="0"/>
        <w:kinsoku/>
        <w:wordWrap/>
        <w:overflowPunct/>
        <w:topLinePunct w:val="0"/>
        <w:autoSpaceDE/>
        <w:bidi w:val="0"/>
        <w:adjustRightInd/>
        <w:spacing w:line="600" w:lineRule="exact"/>
        <w:ind w:left="0" w:leftChars="0" w:right="0" w:rightChars="0"/>
        <w:jc w:val="both"/>
        <w:textAlignment w:val="auto"/>
        <w:rPr>
          <w:rFonts w:hint="eastAsia" w:ascii="Times New Roman" w:hAnsi="Times New Roman" w:eastAsia="仿宋_GB2312" w:cs="仿宋_GB2312"/>
          <w:b w:val="0"/>
          <w:bCs w:val="0"/>
          <w:sz w:val="30"/>
          <w:szCs w:val="30"/>
        </w:rPr>
      </w:pPr>
    </w:p>
    <w:p w14:paraId="750254E4">
      <w:pPr>
        <w:keepNext w:val="0"/>
        <w:keepLines w:val="0"/>
        <w:pageBreakBefore w:val="0"/>
        <w:kinsoku/>
        <w:wordWrap/>
        <w:overflowPunct/>
        <w:topLinePunct w:val="0"/>
        <w:autoSpaceDE/>
        <w:bidi w:val="0"/>
        <w:adjustRightInd/>
        <w:spacing w:line="600" w:lineRule="exact"/>
        <w:ind w:left="0" w:leftChars="0" w:right="0" w:rightChars="0"/>
        <w:jc w:val="both"/>
        <w:textAlignment w:val="auto"/>
        <w:rPr>
          <w:rFonts w:hint="eastAsia" w:ascii="Times New Roman" w:hAnsi="Times New Roman" w:eastAsia="仿宋_GB2312" w:cs="仿宋_GB2312"/>
          <w:b w:val="0"/>
          <w:bCs w:val="0"/>
          <w:sz w:val="30"/>
          <w:szCs w:val="30"/>
        </w:rPr>
      </w:pPr>
    </w:p>
    <w:p w14:paraId="773621C9">
      <w:pPr>
        <w:keepNext w:val="0"/>
        <w:keepLines w:val="0"/>
        <w:pageBreakBefore w:val="0"/>
        <w:kinsoku/>
        <w:wordWrap/>
        <w:overflowPunct/>
        <w:topLinePunct w:val="0"/>
        <w:autoSpaceDE/>
        <w:bidi w:val="0"/>
        <w:adjustRightInd/>
        <w:spacing w:line="600" w:lineRule="exact"/>
        <w:ind w:left="0" w:leftChars="0" w:right="0" w:rightChars="0"/>
        <w:jc w:val="both"/>
        <w:textAlignment w:val="auto"/>
        <w:rPr>
          <w:rFonts w:hint="eastAsia" w:ascii="Times New Roman" w:hAnsi="Times New Roman" w:eastAsia="仿宋_GB2312" w:cs="仿宋_GB2312"/>
          <w:b w:val="0"/>
          <w:bCs w:val="0"/>
          <w:sz w:val="30"/>
          <w:szCs w:val="30"/>
        </w:rPr>
      </w:pPr>
    </w:p>
    <w:p w14:paraId="57B0AFAB">
      <w:pPr>
        <w:keepNext w:val="0"/>
        <w:keepLines w:val="0"/>
        <w:pageBreakBefore w:val="0"/>
        <w:kinsoku/>
        <w:wordWrap/>
        <w:overflowPunct/>
        <w:topLinePunct w:val="0"/>
        <w:autoSpaceDE/>
        <w:bidi w:val="0"/>
        <w:adjustRightInd/>
        <w:spacing w:line="600" w:lineRule="exact"/>
        <w:ind w:left="0" w:leftChars="0" w:right="0" w:rightChars="0"/>
        <w:jc w:val="both"/>
        <w:textAlignment w:val="auto"/>
        <w:rPr>
          <w:rFonts w:hint="eastAsia" w:ascii="Times New Roman" w:hAnsi="Times New Roman" w:eastAsia="仿宋_GB2312" w:cs="仿宋_GB2312"/>
          <w:b w:val="0"/>
          <w:bCs w:val="0"/>
          <w:sz w:val="30"/>
          <w:szCs w:val="30"/>
        </w:rPr>
      </w:pPr>
    </w:p>
    <w:p w14:paraId="76835812">
      <w:pPr>
        <w:keepNext w:val="0"/>
        <w:keepLines w:val="0"/>
        <w:pageBreakBefore w:val="0"/>
        <w:kinsoku/>
        <w:wordWrap/>
        <w:overflowPunct/>
        <w:topLinePunct w:val="0"/>
        <w:autoSpaceDE/>
        <w:bidi w:val="0"/>
        <w:adjustRightInd/>
        <w:spacing w:line="600" w:lineRule="exact"/>
        <w:ind w:left="0" w:leftChars="0" w:right="0" w:rightChars="0"/>
        <w:jc w:val="both"/>
        <w:textAlignment w:val="auto"/>
        <w:rPr>
          <w:rFonts w:hint="eastAsia" w:ascii="Times New Roman" w:hAnsi="Times New Roman" w:eastAsia="仿宋_GB2312" w:cs="仿宋_GB2312"/>
          <w:b w:val="0"/>
          <w:bCs w:val="0"/>
          <w:sz w:val="30"/>
          <w:szCs w:val="30"/>
        </w:rPr>
      </w:pPr>
    </w:p>
    <w:p w14:paraId="0B993616">
      <w:pPr>
        <w:keepNext w:val="0"/>
        <w:keepLines w:val="0"/>
        <w:pageBreakBefore w:val="0"/>
        <w:kinsoku/>
        <w:wordWrap/>
        <w:overflowPunct/>
        <w:topLinePunct w:val="0"/>
        <w:autoSpaceDE/>
        <w:bidi w:val="0"/>
        <w:adjustRightInd/>
        <w:spacing w:line="600" w:lineRule="exact"/>
        <w:ind w:left="0" w:leftChars="0" w:right="0" w:rightChars="0"/>
        <w:jc w:val="both"/>
        <w:textAlignment w:val="auto"/>
        <w:rPr>
          <w:rFonts w:hint="eastAsia" w:ascii="Times New Roman" w:hAnsi="Times New Roman" w:eastAsia="仿宋_GB2312" w:cs="仿宋_GB2312"/>
          <w:b w:val="0"/>
          <w:bCs w:val="0"/>
          <w:sz w:val="30"/>
          <w:szCs w:val="30"/>
        </w:rPr>
      </w:pPr>
      <w:r>
        <w:rPr>
          <w:rFonts w:ascii="Times New Roman" w:hAnsi="Times New Roman"/>
          <w:sz w:val="30"/>
        </w:rPr>
        <mc:AlternateContent>
          <mc:Choice Requires="wps">
            <w:drawing>
              <wp:anchor distT="0" distB="0" distL="114935" distR="114935" simplePos="0" relativeHeight="251659264" behindDoc="1" locked="0" layoutInCell="1" allowOverlap="1">
                <wp:simplePos x="0" y="0"/>
                <wp:positionH relativeFrom="column">
                  <wp:posOffset>3327400</wp:posOffset>
                </wp:positionH>
                <wp:positionV relativeFrom="paragraph">
                  <wp:posOffset>8143240</wp:posOffset>
                </wp:positionV>
                <wp:extent cx="2171065" cy="6946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171065" cy="694690"/>
                        </a:xfrm>
                        <a:prstGeom prst="rect">
                          <a:avLst/>
                        </a:prstGeom>
                        <a:noFill/>
                        <a:ln>
                          <a:noFill/>
                        </a:ln>
                      </wps:spPr>
                      <wps:txbx>
                        <w:txbxContent>
                          <w:p w14:paraId="48680AF2">
                            <w:pPr>
                              <w:rPr>
                                <w:rFonts w:hint="eastAsia" w:eastAsia="仿宋_GB2312"/>
                                <w:lang w:eastAsia="zh-CN"/>
                              </w:rPr>
                            </w:pPr>
                          </w:p>
                        </w:txbxContent>
                      </wps:txbx>
                      <wps:bodyPr vert="horz" wrap="none" lIns="90043" tIns="46863" rIns="90043" bIns="46863" anchor="t" anchorCtr="0" upright="1">
                        <a:spAutoFit/>
                      </wps:bodyPr>
                    </wps:wsp>
                  </a:graphicData>
                </a:graphic>
              </wp:anchor>
            </w:drawing>
          </mc:Choice>
          <mc:Fallback>
            <w:pict>
              <v:shape id="文本框 2" o:spid="_x0000_s1026" o:spt="202" type="#_x0000_t202" style="position:absolute;left:0pt;margin-left:262pt;margin-top:641.2pt;height:54.7pt;width:170.95pt;mso-wrap-style:none;z-index:-251657216;mso-width-relative:page;mso-height-relative:page;" filled="f" stroked="f" coordsize="21600,21600" o:gfxdata="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4K29cAAAANAQAADwAAAAAAAAABACAAAAAiAAAAZHJzL2Rvd25yZXYueG1sUEsBAhQAFAAAAAgA&#10;h07iQLwtD3HtAQAAzQMAAA4AAAAAAAAAAQAgAAAAJgEAAGRycy9lMm9Eb2MueG1sUEsFBgAAAAAG&#10;AAYAWQEAAIUFAAAAAA==&#10;">
                <v:fill on="f" focussize="0,0"/>
                <v:stroke on="f"/>
                <v:imagedata o:title=""/>
                <o:lock v:ext="edit" aspectratio="f"/>
                <v:textbox inset="7.09pt,1.30175mm,7.09pt,1.30175mm" style="mso-fit-shape-to-text:t;">
                  <w:txbxContent>
                    <w:p w14:paraId="48680AF2">
                      <w:pPr>
                        <w:rPr>
                          <w:rFonts w:hint="eastAsia" w:eastAsia="仿宋_GB2312"/>
                          <w:lang w:eastAsia="zh-CN"/>
                        </w:rPr>
                      </w:pPr>
                    </w:p>
                  </w:txbxContent>
                </v:textbox>
              </v:shape>
            </w:pict>
          </mc:Fallback>
        </mc:AlternateContent>
      </w:r>
    </w:p>
    <w:p w14:paraId="5A08C27D">
      <w:pPr>
        <w:keepNext w:val="0"/>
        <w:keepLines w:val="0"/>
        <w:pageBreakBefore w:val="0"/>
        <w:kinsoku/>
        <w:wordWrap/>
        <w:overflowPunct/>
        <w:topLinePunct w:val="0"/>
        <w:autoSpaceDE/>
        <w:bidi w:val="0"/>
        <w:adjustRightInd/>
        <w:spacing w:line="600" w:lineRule="exact"/>
        <w:ind w:left="0" w:leftChars="0" w:right="0" w:rightChars="0"/>
        <w:jc w:val="both"/>
        <w:textAlignment w:val="auto"/>
        <w:rPr>
          <w:rFonts w:hint="eastAsia" w:ascii="Times New Roman" w:hAnsi="Times New Roman" w:eastAsia="仿宋_GB2312" w:cs="仿宋_GB2312"/>
          <w:b w:val="0"/>
          <w:bCs w:val="0"/>
          <w:sz w:val="30"/>
          <w:szCs w:val="30"/>
        </w:rPr>
      </w:pPr>
    </w:p>
    <w:p w14:paraId="60AC60E0">
      <w:pPr>
        <w:keepNext w:val="0"/>
        <w:keepLines w:val="0"/>
        <w:pageBreakBefore w:val="0"/>
        <w:kinsoku/>
        <w:wordWrap/>
        <w:overflowPunct/>
        <w:topLinePunct w:val="0"/>
        <w:autoSpaceDE/>
        <w:bidi w:val="0"/>
        <w:adjustRightInd/>
        <w:spacing w:line="600" w:lineRule="exact"/>
        <w:ind w:left="0" w:leftChars="0" w:right="0" w:rightChars="0"/>
        <w:jc w:val="both"/>
        <w:textAlignment w:val="auto"/>
        <w:rPr>
          <w:rFonts w:hint="eastAsia" w:ascii="Times New Roman" w:hAnsi="Times New Roman" w:eastAsia="仿宋_GB2312" w:cs="仿宋_GB2312"/>
          <w:b w:val="0"/>
          <w:bCs w:val="0"/>
          <w:sz w:val="30"/>
          <w:szCs w:val="30"/>
        </w:rPr>
      </w:pPr>
    </w:p>
    <w:p w14:paraId="78A50091">
      <w:pPr>
        <w:keepNext w:val="0"/>
        <w:keepLines w:val="0"/>
        <w:pageBreakBefore w:val="0"/>
        <w:kinsoku/>
        <w:wordWrap/>
        <w:overflowPunct/>
        <w:topLinePunct w:val="0"/>
        <w:autoSpaceDE/>
        <w:bidi w:val="0"/>
        <w:adjustRightInd/>
        <w:spacing w:line="600" w:lineRule="exact"/>
        <w:ind w:left="0" w:leftChars="0" w:right="0" w:rightChars="0"/>
        <w:jc w:val="both"/>
        <w:textAlignment w:val="auto"/>
        <w:rPr>
          <w:rFonts w:hint="eastAsia" w:ascii="Times New Roman" w:hAnsi="Times New Roman" w:eastAsia="仿宋_GB2312" w:cs="仿宋_GB2312"/>
          <w:b w:val="0"/>
          <w:bCs w:val="0"/>
          <w:sz w:val="30"/>
          <w:szCs w:val="30"/>
        </w:rPr>
      </w:pPr>
    </w:p>
    <w:p w14:paraId="6D60CADC">
      <w:pPr>
        <w:keepNext w:val="0"/>
        <w:keepLines w:val="0"/>
        <w:pageBreakBefore w:val="0"/>
        <w:kinsoku/>
        <w:wordWrap/>
        <w:overflowPunct/>
        <w:topLinePunct w:val="0"/>
        <w:autoSpaceDE/>
        <w:bidi w:val="0"/>
        <w:adjustRightInd/>
        <w:spacing w:line="600" w:lineRule="exact"/>
        <w:ind w:left="0" w:leftChars="0" w:right="0" w:rightChars="0"/>
        <w:jc w:val="both"/>
        <w:textAlignment w:val="auto"/>
        <w:rPr>
          <w:rFonts w:hint="eastAsia" w:ascii="Times New Roman" w:hAnsi="Times New Roman" w:eastAsia="仿宋_GB2312" w:cs="仿宋_GB2312"/>
          <w:b w:val="0"/>
          <w:bCs w:val="0"/>
          <w:sz w:val="30"/>
          <w:szCs w:val="30"/>
        </w:rPr>
      </w:pPr>
    </w:p>
    <w:p w14:paraId="48005B2E">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both"/>
        <w:textAlignment w:val="auto"/>
        <w:outlineLvl w:val="9"/>
        <w:rPr>
          <w:rFonts w:hint="eastAsia" w:ascii="Times New Roman" w:hAnsi="Times New Roman" w:eastAsia="仿宋_GB2312" w:cs="仿宋_GB2312"/>
          <w:b w:val="0"/>
          <w:bCs w:val="0"/>
          <w:sz w:val="30"/>
          <w:szCs w:val="30"/>
        </w:rPr>
      </w:pPr>
    </w:p>
    <w:p w14:paraId="676FD7C5">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both"/>
        <w:textAlignment w:val="auto"/>
        <w:outlineLvl w:val="9"/>
        <w:rPr>
          <w:rFonts w:hint="eastAsia" w:ascii="Times New Roman" w:hAnsi="Times New Roman" w:eastAsia="仿宋_GB2312" w:cs="仿宋_GB2312"/>
          <w:b w:val="0"/>
          <w:bCs w:val="0"/>
          <w:sz w:val="30"/>
          <w:szCs w:val="30"/>
        </w:rPr>
      </w:pPr>
    </w:p>
    <w:p w14:paraId="108984C6">
      <w:pPr>
        <w:keepNext w:val="0"/>
        <w:keepLines w:val="0"/>
        <w:pageBreakBefore w:val="0"/>
        <w:kinsoku/>
        <w:wordWrap/>
        <w:overflowPunct/>
        <w:topLinePunct w:val="0"/>
        <w:autoSpaceDE/>
        <w:bidi w:val="0"/>
        <w:adjustRightInd/>
        <w:spacing w:line="600" w:lineRule="exact"/>
        <w:ind w:left="0" w:leftChars="0" w:right="0" w:rightChars="0"/>
        <w:jc w:val="both"/>
        <w:textAlignment w:val="auto"/>
        <w:rPr>
          <w:rFonts w:hint="eastAsia" w:ascii="Times New Roman" w:hAnsi="Times New Roman" w:eastAsia="仿宋_GB2312" w:cs="仿宋_GB2312"/>
          <w:b w:val="0"/>
          <w:bCs w:val="0"/>
          <w:sz w:val="30"/>
          <w:szCs w:val="30"/>
        </w:rPr>
      </w:pPr>
    </w:p>
    <w:tbl>
      <w:tblPr>
        <w:tblStyle w:val="3"/>
        <w:tblW w:w="0" w:type="auto"/>
        <w:tblInd w:w="108" w:type="dxa"/>
        <w:tblBorders>
          <w:top w:val="none" w:color="auto" w:sz="6" w:space="0"/>
          <w:left w:val="none" w:color="auto" w:sz="6" w:space="0"/>
          <w:bottom w:val="single" w:color="auto" w:sz="4" w:space="0"/>
          <w:right w:val="non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14:paraId="6015C9FA">
        <w:tblPrEx>
          <w:tblBorders>
            <w:top w:val="none" w:color="auto" w:sz="6"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836" w:type="dxa"/>
            <w:tcBorders>
              <w:top w:val="single" w:color="auto" w:sz="12" w:space="0"/>
              <w:left w:val="nil"/>
              <w:bottom w:val="single" w:color="auto" w:sz="4" w:space="0"/>
              <w:right w:val="nil"/>
            </w:tcBorders>
            <w:noWrap w:val="0"/>
            <w:vAlign w:val="center"/>
          </w:tcPr>
          <w:p w14:paraId="0F904D3B">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00" w:lineRule="exact"/>
              <w:ind w:left="0" w:leftChars="0" w:right="0" w:rightChars="0" w:firstLine="240" w:firstLineChars="100"/>
              <w:jc w:val="both"/>
              <w:textAlignment w:val="auto"/>
              <w:outlineLvl w:val="9"/>
              <w:rPr>
                <w:rFonts w:hint="eastAsia" w:ascii="Times New Roman" w:hAnsi="Times New Roman" w:eastAsia="仿宋_GB2312" w:cs="仿宋_GB2312"/>
                <w:sz w:val="24"/>
                <w:szCs w:val="24"/>
                <w:lang w:val="en-US"/>
              </w:rPr>
            </w:pPr>
            <w:r>
              <w:rPr>
                <w:rFonts w:hint="eastAsia" w:ascii="Times New Roman" w:hAnsi="Times New Roman" w:eastAsia="仿宋_GB2312" w:cs="仿宋_GB2312"/>
                <w:kern w:val="2"/>
                <w:sz w:val="24"/>
                <w:szCs w:val="24"/>
                <w:lang w:val="en-US" w:eastAsia="zh-CN" w:bidi="ar"/>
              </w:rPr>
              <w:t>抄送：市委办公室。</w:t>
            </w:r>
            <w:r>
              <w:rPr>
                <w:rFonts w:hint="eastAsia" w:ascii="Times New Roman" w:hAnsi="Times New Roman" w:eastAsia="仿宋_GB2312" w:cs="仿宋_GB2312"/>
                <w:spacing w:val="-10"/>
                <w:kern w:val="2"/>
                <w:sz w:val="24"/>
                <w:szCs w:val="24"/>
                <w:lang w:val="en-US" w:eastAsia="zh-CN" w:bidi="ar"/>
              </w:rPr>
              <w:t xml:space="preserve">  </w:t>
            </w:r>
          </w:p>
          <w:p w14:paraId="5DCC6506">
            <w:pPr>
              <w:keepNext w:val="0"/>
              <w:keepLines w:val="0"/>
              <w:pageBreakBefore w:val="0"/>
              <w:widowControl w:val="0"/>
              <w:suppressLineNumbers w:val="0"/>
              <w:kinsoku/>
              <w:wordWrap/>
              <w:overflowPunct/>
              <w:topLinePunct w:val="0"/>
              <w:autoSpaceDE/>
              <w:autoSpaceDN/>
              <w:bidi w:val="0"/>
              <w:adjustRightInd/>
              <w:spacing w:beforeAutospacing="0" w:afterAutospacing="0" w:line="400" w:lineRule="exact"/>
              <w:ind w:left="0" w:leftChars="0" w:right="0" w:rightChars="0"/>
              <w:jc w:val="both"/>
              <w:textAlignment w:val="auto"/>
              <w:outlineLvl w:val="9"/>
              <w:rPr>
                <w:rFonts w:hint="eastAsia" w:ascii="Times New Roman" w:hAnsi="Times New Roman" w:eastAsia="仿宋_GB2312" w:cs="仿宋_GB2312"/>
                <w:sz w:val="24"/>
                <w:szCs w:val="24"/>
                <w:lang w:val="en-US"/>
              </w:rPr>
            </w:pPr>
            <w:r>
              <w:rPr>
                <w:rFonts w:hint="eastAsia" w:ascii="Times New Roman" w:hAnsi="Times New Roman" w:eastAsia="仿宋_GB2312" w:cs="仿宋_GB2312"/>
                <w:kern w:val="2"/>
                <w:sz w:val="24"/>
                <w:szCs w:val="24"/>
                <w:lang w:val="en-US" w:eastAsia="zh-CN" w:bidi="ar"/>
              </w:rPr>
              <w:t xml:space="preserve">        市人大常委会办公室、政协办公室。</w:t>
            </w:r>
          </w:p>
        </w:tc>
      </w:tr>
      <w:tr w14:paraId="3F0B0F42">
        <w:tblPrEx>
          <w:tblBorders>
            <w:top w:val="none" w:color="auto" w:sz="6"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836" w:type="dxa"/>
            <w:tcBorders>
              <w:top w:val="single" w:color="auto" w:sz="4" w:space="0"/>
              <w:left w:val="nil"/>
              <w:bottom w:val="single" w:color="auto" w:sz="12" w:space="0"/>
              <w:right w:val="nil"/>
            </w:tcBorders>
            <w:noWrap w:val="0"/>
            <w:vAlign w:val="bottom"/>
          </w:tcPr>
          <w:p w14:paraId="588EB927">
            <w:pPr>
              <w:keepNext w:val="0"/>
              <w:keepLines w:val="0"/>
              <w:pageBreakBefore w:val="0"/>
              <w:widowControl w:val="0"/>
              <w:suppressLineNumbers w:val="0"/>
              <w:kinsoku/>
              <w:wordWrap/>
              <w:overflowPunct/>
              <w:topLinePunct w:val="0"/>
              <w:autoSpaceDE/>
              <w:autoSpaceDN/>
              <w:bidi w:val="0"/>
              <w:adjustRightInd/>
              <w:spacing w:beforeAutospacing="0" w:afterAutospacing="0" w:line="400" w:lineRule="exact"/>
              <w:ind w:left="0" w:leftChars="0" w:right="0" w:rightChars="0" w:firstLine="211" w:firstLineChars="88"/>
              <w:jc w:val="both"/>
              <w:textAlignment w:val="auto"/>
              <w:outlineLvl w:val="9"/>
              <w:rPr>
                <w:rFonts w:hint="eastAsia" w:ascii="Times New Roman" w:hAnsi="Times New Roman" w:eastAsia="仿宋_GB2312" w:cs="仿宋_GB2312"/>
                <w:sz w:val="24"/>
                <w:szCs w:val="24"/>
                <w:lang w:val="en-US"/>
              </w:rPr>
            </w:pPr>
            <w:r>
              <w:rPr>
                <w:rFonts w:hint="eastAsia" w:ascii="Times New Roman" w:hAnsi="Times New Roman" w:eastAsia="仿宋_GB2312" w:cs="仿宋_GB2312"/>
                <w:kern w:val="2"/>
                <w:sz w:val="24"/>
                <w:szCs w:val="24"/>
                <w:lang w:val="en-US" w:eastAsia="zh-CN" w:bidi="ar"/>
              </w:rPr>
              <w:t xml:space="preserve">包头市人民政府办公室                           </w:t>
            </w:r>
            <w:r>
              <w:rPr>
                <w:rFonts w:hint="eastAsia" w:ascii="Times New Roman" w:hAnsi="Times New Roman" w:cs="仿宋_GB2312"/>
                <w:kern w:val="2"/>
                <w:sz w:val="24"/>
                <w:szCs w:val="24"/>
                <w:lang w:val="en-US" w:eastAsia="zh-CN" w:bidi="ar"/>
              </w:rPr>
              <w:t xml:space="preserve"> </w:t>
            </w:r>
            <w:r>
              <w:rPr>
                <w:rFonts w:hint="eastAsia" w:ascii="Times New Roman" w:hAnsi="Times New Roman" w:eastAsia="仿宋_GB2312" w:cs="仿宋_GB2312"/>
                <w:kern w:val="2"/>
                <w:sz w:val="24"/>
                <w:szCs w:val="24"/>
                <w:lang w:val="en-US" w:eastAsia="zh-CN" w:bidi="ar"/>
              </w:rPr>
              <w:t xml:space="preserve"> 2022年</w:t>
            </w:r>
            <w:r>
              <w:rPr>
                <w:rFonts w:hint="eastAsia" w:ascii="Times New Roman" w:hAnsi="Times New Roman" w:cs="仿宋_GB2312"/>
                <w:kern w:val="2"/>
                <w:sz w:val="24"/>
                <w:szCs w:val="24"/>
                <w:lang w:val="en-US" w:eastAsia="zh-CN" w:bidi="ar"/>
              </w:rPr>
              <w:t>4</w:t>
            </w:r>
            <w:r>
              <w:rPr>
                <w:rFonts w:hint="eastAsia" w:ascii="Times New Roman" w:hAnsi="Times New Roman" w:eastAsia="仿宋_GB2312" w:cs="仿宋_GB2312"/>
                <w:kern w:val="2"/>
                <w:sz w:val="24"/>
                <w:szCs w:val="24"/>
                <w:lang w:val="en-US" w:eastAsia="zh-CN" w:bidi="ar"/>
              </w:rPr>
              <w:t>月</w:t>
            </w:r>
            <w:r>
              <w:rPr>
                <w:rFonts w:hint="eastAsia" w:ascii="Times New Roman" w:hAnsi="Times New Roman" w:cs="仿宋_GB2312"/>
                <w:kern w:val="2"/>
                <w:sz w:val="24"/>
                <w:szCs w:val="24"/>
                <w:lang w:val="en-US" w:eastAsia="zh-CN" w:bidi="ar"/>
              </w:rPr>
              <w:t>12</w:t>
            </w:r>
            <w:r>
              <w:rPr>
                <w:rFonts w:hint="eastAsia" w:ascii="Times New Roman" w:hAnsi="Times New Roman" w:eastAsia="仿宋_GB2312" w:cs="仿宋_GB2312"/>
                <w:kern w:val="2"/>
                <w:sz w:val="24"/>
                <w:szCs w:val="24"/>
                <w:lang w:val="en-US" w:eastAsia="zh-CN" w:bidi="ar"/>
              </w:rPr>
              <w:t>日印发</w:t>
            </w:r>
          </w:p>
        </w:tc>
      </w:tr>
    </w:tbl>
    <w:p w14:paraId="029F7E32">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ascii="Times New Roman" w:hAnsi="Times New Roman" w:eastAsia="仿宋_GB2312" w:cs="仿宋_GB2312"/>
          <w:b w:val="0"/>
          <w:bCs w:val="0"/>
          <w:sz w:val="30"/>
          <w:szCs w:val="30"/>
        </w:rPr>
      </w:pPr>
      <w:r>
        <w:rPr>
          <w:rFonts w:hint="eastAsia" w:ascii="Times New Roman" w:hAnsi="Times New Roman" w:eastAsia="仿宋_GB2312"/>
          <w:lang w:eastAsia="zh-CN"/>
        </w:rPr>
        <w:drawing>
          <wp:anchor distT="0" distB="0" distL="114300" distR="114300" simplePos="0" relativeHeight="251660288" behindDoc="1" locked="0" layoutInCell="1" allowOverlap="1">
            <wp:simplePos x="0" y="0"/>
            <wp:positionH relativeFrom="column">
              <wp:posOffset>3800475</wp:posOffset>
            </wp:positionH>
            <wp:positionV relativeFrom="paragraph">
              <wp:posOffset>46355</wp:posOffset>
            </wp:positionV>
            <wp:extent cx="1800225" cy="533400"/>
            <wp:effectExtent l="0" t="0" r="13335" b="0"/>
            <wp:wrapTight wrapText="bothSides">
              <wp:wrapPolygon>
                <wp:start x="21592" y="-2"/>
                <wp:lineTo x="0" y="0"/>
                <wp:lineTo x="0" y="21600"/>
                <wp:lineTo x="21592" y="21602"/>
                <wp:lineTo x="8" y="21602"/>
                <wp:lineTo x="21600" y="21600"/>
                <wp:lineTo x="21600" y="0"/>
                <wp:lineTo x="8" y="-2"/>
                <wp:lineTo x="21592" y="-2"/>
              </wp:wrapPolygon>
            </wp:wrapTight>
            <wp:docPr id="2" name="图片 3"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labelocxtemp"/>
                    <pic:cNvPicPr>
                      <a:picLocks noChangeAspect="1"/>
                    </pic:cNvPicPr>
                  </pic:nvPicPr>
                  <pic:blipFill>
                    <a:blip r:embed="rId8"/>
                    <a:stretch>
                      <a:fillRect/>
                    </a:stretch>
                  </pic:blipFill>
                  <pic:spPr>
                    <a:xfrm>
                      <a:off x="0" y="0"/>
                      <a:ext cx="1800225" cy="533400"/>
                    </a:xfrm>
                    <a:prstGeom prst="rect">
                      <a:avLst/>
                    </a:prstGeom>
                    <a:noFill/>
                    <a:ln>
                      <a:noFill/>
                    </a:ln>
                  </pic:spPr>
                </pic:pic>
              </a:graphicData>
            </a:graphic>
          </wp:anchor>
        </w:drawing>
      </w:r>
    </w:p>
    <w:sectPr>
      <w:footerReference r:id="rId5" w:type="default"/>
      <w:footerReference r:id="rId6" w:type="even"/>
      <w:pgSz w:w="11906" w:h="16838"/>
      <w:pgMar w:top="1701" w:right="1531" w:bottom="1701" w:left="1531" w:header="851" w:footer="1757" w:gutter="0"/>
      <w:paperSrc/>
      <w:lnNumType w:countBy="0" w:restart="continuous"/>
      <w:cols w:space="72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方正小标宋简体">
    <w:altName w:val="方正舒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33613">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sz w:val="2"/>
        <w:szCs w:val="2"/>
      </w:rPr>
    </w:pPr>
    <w:r>
      <w:rPr>
        <w:sz w:val="2"/>
      </w:rPr>
      <mc:AlternateContent>
        <mc:Choice Requires="wps">
          <w:drawing>
            <wp:anchor distT="0" distB="0" distL="114300" distR="114300" simplePos="0" relativeHeight="251659264" behindDoc="0" locked="0" layoutInCell="1" allowOverlap="1">
              <wp:simplePos x="0" y="0"/>
              <wp:positionH relativeFrom="margin">
                <wp:posOffset>4775835</wp:posOffset>
              </wp:positionH>
              <wp:positionV relativeFrom="paragraph">
                <wp:posOffset>0</wp:posOffset>
              </wp:positionV>
              <wp:extent cx="840105"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840105" cy="1828800"/>
                      </a:xfrm>
                      <a:prstGeom prst="rect">
                        <a:avLst/>
                      </a:prstGeom>
                      <a:noFill/>
                      <a:ln w="6350">
                        <a:noFill/>
                      </a:ln>
                      <a:effectLst/>
                    </wps:spPr>
                    <wps:txbx>
                      <w:txbxContent>
                        <w:p w14:paraId="66C0C7C7">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both"/>
                            <w:textAlignment w:val="auto"/>
                            <w:outlineLvl w:val="9"/>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left:376.05pt;margin-top:0pt;height:144pt;width:66.15pt;mso-position-horizontal-relative:margin;z-index:251659264;mso-width-relative:page;mso-height-relative:page;" filled="f" stroked="f" coordsize="21600,21600" o:gfxdata="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6yKJHNYAAAAIAQAADwAAAAAAAAABACAAAAAiAAAAZHJz&#10;L2Rvd25yZXYueG1sUEsBAhQAFAAAAAgAh07iQHy+AjE/AgAAcAQAAA4AAAAAAAAAAQAgAAAAJQEA&#10;AGRycy9lMm9Eb2MueG1sUEsFBgAAAAAGAAYAWQEAANYFAAAAAA==&#10;">
              <v:fill on="f" focussize="0,0"/>
              <v:stroke on="f" weight="0.5pt"/>
              <v:imagedata o:title=""/>
              <o:lock v:ext="edit" aspectratio="f"/>
              <v:textbox inset="0mm,0mm,0mm,0mm" style="mso-fit-shape-to-text:t;">
                <w:txbxContent>
                  <w:p w14:paraId="66C0C7C7">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both"/>
                      <w:textAlignment w:val="auto"/>
                      <w:outlineLvl w:val="9"/>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E2DF5">
    <w:pPr>
      <w:pStyle w:val="2"/>
      <w:keepNext w:val="0"/>
      <w:keepLines w:val="0"/>
      <w:pageBreakBefore w:val="0"/>
      <w:widowControl w:val="0"/>
      <w:kinsoku/>
      <w:wordWrap/>
      <w:overflowPunct/>
      <w:topLinePunct w:val="0"/>
      <w:autoSpaceDE/>
      <w:autoSpaceDN/>
      <w:bidi w:val="0"/>
      <w:adjustRightInd/>
      <w:snapToGrid w:val="0"/>
      <w:spacing w:line="20" w:lineRule="exact"/>
      <w:ind w:left="0" w:leftChars="0" w:right="360" w:rightChars="0" w:firstLine="360" w:firstLineChars="0"/>
      <w:jc w:val="left"/>
      <w:textAlignment w:val="auto"/>
      <w:outlineLvl w:val="9"/>
      <w:rPr>
        <w:sz w:val="2"/>
        <w:szCs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06934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069340" cy="1828800"/>
                      </a:xfrm>
                      <a:prstGeom prst="rect">
                        <a:avLst/>
                      </a:prstGeom>
                      <a:noFill/>
                      <a:ln w="6350">
                        <a:noFill/>
                      </a:ln>
                      <a:effectLst/>
                    </wps:spPr>
                    <wps:txbx>
                      <w:txbxContent>
                        <w:p w14:paraId="7F4CED61">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both"/>
                            <w:textAlignment w:val="auto"/>
                            <w:outlineLvl w:val="9"/>
                            <w:rPr>
                              <w:rFonts w:hint="eastAsia"/>
                              <w:sz w:val="28"/>
                              <w:szCs w:val="28"/>
                              <w:lang w:eastAsia="zh-CN"/>
                            </w:rPr>
                          </w:pPr>
                          <w:r>
                            <w:rPr>
                              <w:rFonts w:hint="eastAsia"/>
                              <w:sz w:val="28"/>
                              <w:szCs w:val="28"/>
                              <w:lang w:val="en-US" w:eastAsia="zh-CN"/>
                            </w:rPr>
                            <w:t xml:space="preserve">  </w:t>
                          </w: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2</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84.2pt;mso-position-horizontal:outside;mso-position-horizontal-relative:margin;z-index:251660288;mso-width-relative:page;mso-height-relative:page;" filled="f" stroked="f" coordsize="21600,21600" o:gfxdata="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DmHd8/UAAAABQEAAA8AAAAAAAAAAQAgAAAAIgAAAGRycy9k&#10;b3ducmV2LnhtbFBLAQIUABQAAAAIAIdO4kCpSgDkPwIAAHEEAAAOAAAAAAAAAAEAIAAAACMBAABk&#10;cnMvZTJvRG9jLnhtbFBLBQYAAAAABgAGAFkBAADUBQAAAAA=&#10;">
              <v:fill on="f" focussize="0,0"/>
              <v:stroke on="f" weight="0.5pt"/>
              <v:imagedata o:title=""/>
              <o:lock v:ext="edit" aspectratio="f"/>
              <v:textbox inset="0mm,0mm,0mm,0mm" style="mso-fit-shape-to-text:t;">
                <w:txbxContent>
                  <w:p w14:paraId="7F4CED61">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both"/>
                      <w:textAlignment w:val="auto"/>
                      <w:outlineLvl w:val="9"/>
                      <w:rPr>
                        <w:rFonts w:hint="eastAsia"/>
                        <w:sz w:val="28"/>
                        <w:szCs w:val="28"/>
                        <w:lang w:eastAsia="zh-CN"/>
                      </w:rPr>
                    </w:pPr>
                    <w:r>
                      <w:rPr>
                        <w:rFonts w:hint="eastAsia"/>
                        <w:sz w:val="28"/>
                        <w:szCs w:val="28"/>
                        <w:lang w:val="en-US" w:eastAsia="zh-CN"/>
                      </w:rPr>
                      <w:t xml:space="preserve">  </w:t>
                    </w: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2</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562279"/>
    <w:multiLevelType w:val="singleLevel"/>
    <w:tmpl w:val="62562279"/>
    <w:lvl w:ilvl="0" w:tentative="0">
      <w:start w:val="5"/>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E50F7A"/>
    <w:rsid w:val="10D6320C"/>
    <w:rsid w:val="1D7C234C"/>
    <w:rsid w:val="2A233689"/>
    <w:rsid w:val="2B5F560F"/>
    <w:rsid w:val="2BC21E31"/>
    <w:rsid w:val="400D0EA6"/>
    <w:rsid w:val="45543AE1"/>
    <w:rsid w:val="54085844"/>
    <w:rsid w:val="56DA30E4"/>
    <w:rsid w:val="58694AF4"/>
    <w:rsid w:val="5FFF5E65"/>
    <w:rsid w:val="66376316"/>
    <w:rsid w:val="7B665A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Times New Roman" w:hAnsi="Times New Roman" w:eastAsia="仿宋_GB2312"/>
      <w:kern w:val="2"/>
      <w:sz w:val="30"/>
      <w:szCs w:val="22"/>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customStyle="1" w:styleId="5">
    <w:name w:val="p0"/>
    <w:basedOn w:val="1"/>
    <w:qFormat/>
    <w:uiPriority w:val="0"/>
    <w:pPr>
      <w:widowControl/>
    </w:pPr>
    <w:rPr>
      <w:rFonts w:ascii="Calibri" w:hAnsi="Calibri" w:cs="宋体"/>
      <w:kern w:val="0"/>
      <w:szCs w:val="21"/>
    </w:rPr>
  </w:style>
  <w:style w:type="paragraph" w:customStyle="1" w:styleId="6">
    <w:name w:val="正文文本缩进1"/>
    <w:basedOn w:val="1"/>
    <w:qFormat/>
    <w:uiPriority w:val="0"/>
    <w:pPr>
      <w:ind w:left="420" w:leftChars="200"/>
    </w:pPr>
    <w:rPr>
      <w:rFonts w:ascii="Calibri" w:hAnsi="Calibri" w:cs="Calibri"/>
    </w:rPr>
  </w:style>
  <w:style w:type="paragraph" w:customStyle="1" w:styleId="7">
    <w:name w:val="正文首行缩进 21"/>
    <w:basedOn w:val="6"/>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5879</Words>
  <Characters>5892</Characters>
  <Lines>0</Lines>
  <Paragraphs>0</Paragraphs>
  <TotalTime>0</TotalTime>
  <ScaleCrop>false</ScaleCrop>
  <LinksUpToDate>false</LinksUpToDate>
  <CharactersWithSpaces>6406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szfdzs1</dc:creator>
  <cp:lastModifiedBy>鵺雾</cp:lastModifiedBy>
  <cp:lastPrinted>2022-04-12T08:06:37Z</cp:lastPrinted>
  <dcterms:modified xsi:type="dcterms:W3CDTF">2026-05-07T03:46:45Z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9E745F2439414CABB9E5DDF1C17622EF_13</vt:lpwstr>
  </property>
</Properties>
</file>