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D706B">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textAlignment w:val="auto"/>
        <w:rPr>
          <w:rFonts w:hint="eastAsia" w:ascii="Times New Roman" w:hAnsi="Times New Roman" w:eastAsia="仿宋_GB2312" w:cs="仿宋_GB2312"/>
          <w:b w:val="0"/>
          <w:bCs w:val="0"/>
          <w:spacing w:val="0"/>
          <w:kern w:val="2"/>
          <w:sz w:val="30"/>
          <w:szCs w:val="30"/>
          <w:u w:val="none"/>
        </w:rPr>
      </w:pPr>
      <w:bookmarkStart w:id="0" w:name="OLE_LINK1"/>
    </w:p>
    <w:p w14:paraId="04F0B0A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textAlignment w:val="auto"/>
        <w:rPr>
          <w:rFonts w:hint="eastAsia" w:ascii="Times New Roman" w:hAnsi="Times New Roman" w:eastAsia="仿宋_GB2312" w:cs="仿宋_GB2312"/>
          <w:b w:val="0"/>
          <w:bCs w:val="0"/>
          <w:spacing w:val="0"/>
          <w:kern w:val="2"/>
          <w:sz w:val="30"/>
          <w:szCs w:val="30"/>
          <w:u w:val="none"/>
        </w:rPr>
      </w:pPr>
    </w:p>
    <w:p w14:paraId="18E33F2F">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textAlignment w:val="auto"/>
        <w:rPr>
          <w:rFonts w:hint="eastAsia" w:ascii="Times New Roman" w:hAnsi="Times New Roman" w:eastAsia="仿宋_GB2312" w:cs="仿宋_GB2312"/>
          <w:b w:val="0"/>
          <w:bCs w:val="0"/>
          <w:spacing w:val="0"/>
          <w:kern w:val="2"/>
          <w:sz w:val="30"/>
          <w:szCs w:val="30"/>
          <w:u w:val="none"/>
        </w:rPr>
      </w:pPr>
    </w:p>
    <w:p w14:paraId="70ADFC4F">
      <w:pPr>
        <w:keepNext w:val="0"/>
        <w:keepLines w:val="0"/>
        <w:pageBreakBefore w:val="0"/>
        <w:widowControl w:val="0"/>
        <w:tabs>
          <w:tab w:val="left" w:pos="7560"/>
        </w:tabs>
        <w:kinsoku/>
        <w:wordWrap/>
        <w:overflowPunct/>
        <w:topLinePunct w:val="0"/>
        <w:autoSpaceDE/>
        <w:autoSpaceDN/>
        <w:bidi w:val="0"/>
        <w:adjustRightInd/>
        <w:snapToGrid/>
        <w:spacing w:beforeAutospacing="0" w:afterAutospacing="0" w:line="600" w:lineRule="exact"/>
        <w:ind w:left="0" w:leftChars="0" w:right="0" w:rightChars="0"/>
        <w:textAlignment w:val="auto"/>
        <w:rPr>
          <w:rFonts w:hint="eastAsia" w:ascii="Times New Roman" w:hAnsi="Times New Roman" w:eastAsia="仿宋_GB2312" w:cs="仿宋_GB2312"/>
          <w:b w:val="0"/>
          <w:bCs w:val="0"/>
          <w:spacing w:val="0"/>
          <w:kern w:val="2"/>
          <w:sz w:val="30"/>
          <w:szCs w:val="30"/>
          <w:u w:val="none"/>
        </w:rPr>
      </w:pPr>
    </w:p>
    <w:p w14:paraId="18A5DA0C">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rPr>
          <w:rFonts w:hint="default" w:ascii="Times New Roman" w:hAnsi="Times New Roman" w:eastAsia="楷体_GB2312" w:cs="Times New Roman"/>
          <w:b w:val="0"/>
          <w:bCs w:val="0"/>
          <w:spacing w:val="0"/>
          <w:kern w:val="2"/>
          <w:sz w:val="30"/>
          <w:szCs w:val="30"/>
          <w:u w:val="none"/>
        </w:rPr>
      </w:pPr>
      <w:r>
        <w:rPr>
          <w:rFonts w:hint="default" w:ascii="Times New Roman" w:hAnsi="Times New Roman" w:eastAsia="楷体_GB2312" w:cs="Times New Roman"/>
          <w:b w:val="0"/>
          <w:bCs w:val="0"/>
          <w:spacing w:val="0"/>
          <w:kern w:val="2"/>
          <w:sz w:val="30"/>
          <w:szCs w:val="30"/>
          <w:u w:val="none"/>
        </w:rPr>
        <w:t>包府办发〔20</w:t>
      </w:r>
      <w:r>
        <w:rPr>
          <w:rFonts w:hint="default" w:ascii="Times New Roman" w:hAnsi="Times New Roman" w:eastAsia="楷体_GB2312" w:cs="Times New Roman"/>
          <w:b w:val="0"/>
          <w:bCs w:val="0"/>
          <w:spacing w:val="0"/>
          <w:kern w:val="2"/>
          <w:sz w:val="30"/>
          <w:szCs w:val="30"/>
          <w:u w:val="none"/>
          <w:lang w:val="en-US" w:eastAsia="zh-CN"/>
        </w:rPr>
        <w:t>22</w:t>
      </w:r>
      <w:r>
        <w:rPr>
          <w:rFonts w:hint="default" w:ascii="Times New Roman" w:hAnsi="Times New Roman" w:eastAsia="楷体_GB2312" w:cs="Times New Roman"/>
          <w:b w:val="0"/>
          <w:bCs w:val="0"/>
          <w:spacing w:val="0"/>
          <w:kern w:val="2"/>
          <w:sz w:val="30"/>
          <w:szCs w:val="30"/>
          <w:u w:val="none"/>
        </w:rPr>
        <w:t>〕</w:t>
      </w:r>
      <w:r>
        <w:rPr>
          <w:rFonts w:hint="eastAsia" w:eastAsia="楷体_GB2312" w:cs="Times New Roman"/>
          <w:b w:val="0"/>
          <w:bCs w:val="0"/>
          <w:spacing w:val="0"/>
          <w:kern w:val="2"/>
          <w:sz w:val="30"/>
          <w:szCs w:val="30"/>
          <w:u w:val="none"/>
          <w:lang w:val="en-US" w:eastAsia="zh-CN"/>
        </w:rPr>
        <w:t>94</w:t>
      </w:r>
      <w:r>
        <w:rPr>
          <w:rFonts w:hint="default" w:ascii="Times New Roman" w:hAnsi="Times New Roman" w:eastAsia="楷体_GB2312" w:cs="Times New Roman"/>
          <w:b w:val="0"/>
          <w:bCs w:val="0"/>
          <w:spacing w:val="0"/>
          <w:kern w:val="2"/>
          <w:sz w:val="30"/>
          <w:szCs w:val="30"/>
          <w:u w:val="none"/>
        </w:rPr>
        <w:t>号</w:t>
      </w:r>
    </w:p>
    <w:p w14:paraId="32733337">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0" w:firstLineChars="0"/>
        <w:jc w:val="both"/>
        <w:textAlignment w:val="auto"/>
        <w:outlineLvl w:val="9"/>
        <w:rPr>
          <w:rFonts w:hint="eastAsia" w:ascii="Times New Roman" w:hAnsi="Times New Roman" w:eastAsia="仿宋_GB2312" w:cs="仿宋_GB2312"/>
          <w:b w:val="0"/>
          <w:bCs w:val="0"/>
          <w:spacing w:val="0"/>
          <w:kern w:val="2"/>
          <w:sz w:val="30"/>
          <w:szCs w:val="30"/>
          <w:u w:val="none"/>
        </w:rPr>
      </w:pPr>
    </w:p>
    <w:p w14:paraId="0A32DD44">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0" w:firstLineChars="0"/>
        <w:jc w:val="both"/>
        <w:textAlignment w:val="auto"/>
        <w:outlineLvl w:val="9"/>
        <w:rPr>
          <w:rFonts w:hint="eastAsia" w:ascii="Times New Roman" w:hAnsi="Times New Roman" w:eastAsia="仿宋_GB2312" w:cs="仿宋_GB2312"/>
          <w:b w:val="0"/>
          <w:bCs w:val="0"/>
          <w:spacing w:val="0"/>
          <w:kern w:val="2"/>
          <w:sz w:val="30"/>
          <w:szCs w:val="30"/>
          <w:u w:val="none"/>
        </w:rPr>
      </w:pPr>
    </w:p>
    <w:bookmarkEnd w:id="0"/>
    <w:p w14:paraId="3843F2B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color w:val="auto"/>
          <w:sz w:val="42"/>
          <w:szCs w:val="42"/>
        </w:rPr>
      </w:pPr>
      <w:r>
        <w:rPr>
          <w:rFonts w:hint="default" w:ascii="Times New Roman" w:hAnsi="Times New Roman" w:eastAsia="方正小标宋简体" w:cs="Times New Roman"/>
          <w:color w:val="auto"/>
          <w:sz w:val="42"/>
          <w:szCs w:val="42"/>
        </w:rPr>
        <w:t>包头市人民政府办公室</w:t>
      </w:r>
    </w:p>
    <w:p w14:paraId="1476369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color w:val="auto"/>
          <w:sz w:val="42"/>
          <w:szCs w:val="42"/>
        </w:rPr>
      </w:pPr>
      <w:bookmarkStart w:id="1" w:name="_GoBack"/>
      <w:r>
        <w:rPr>
          <w:rFonts w:hint="default" w:ascii="Times New Roman" w:hAnsi="Times New Roman" w:eastAsia="方正小标宋简体" w:cs="Times New Roman"/>
          <w:color w:val="auto"/>
          <w:sz w:val="42"/>
          <w:szCs w:val="42"/>
        </w:rPr>
        <w:t>关于印发包头市预制菜产业发展</w:t>
      </w:r>
    </w:p>
    <w:p w14:paraId="34DECAE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color w:val="auto"/>
          <w:sz w:val="42"/>
          <w:szCs w:val="42"/>
        </w:rPr>
      </w:pPr>
      <w:r>
        <w:rPr>
          <w:rFonts w:hint="default" w:ascii="Times New Roman" w:hAnsi="Times New Roman" w:eastAsia="方正小标宋简体" w:cs="Times New Roman"/>
          <w:color w:val="auto"/>
          <w:sz w:val="42"/>
          <w:szCs w:val="42"/>
        </w:rPr>
        <w:t>三年行动计划</w:t>
      </w:r>
      <w:bookmarkEnd w:id="1"/>
      <w:r>
        <w:rPr>
          <w:rFonts w:hint="default" w:ascii="Times New Roman" w:hAnsi="Times New Roman" w:eastAsia="方正小标宋简体" w:cs="Times New Roman"/>
          <w:color w:val="auto"/>
          <w:sz w:val="42"/>
          <w:szCs w:val="42"/>
        </w:rPr>
        <w:t>（2022</w:t>
      </w:r>
      <w:r>
        <w:rPr>
          <w:rFonts w:hint="eastAsia" w:ascii="Times New Roman" w:hAnsi="Times New Roman" w:eastAsia="方正小标宋简体" w:cs="Times New Roman"/>
          <w:color w:val="auto"/>
          <w:sz w:val="42"/>
          <w:szCs w:val="42"/>
          <w:lang w:eastAsia="zh-CN"/>
        </w:rPr>
        <w:t>—</w:t>
      </w:r>
      <w:r>
        <w:rPr>
          <w:rFonts w:hint="default" w:ascii="Times New Roman" w:hAnsi="Times New Roman" w:eastAsia="方正小标宋简体" w:cs="Times New Roman"/>
          <w:color w:val="auto"/>
          <w:sz w:val="42"/>
          <w:szCs w:val="42"/>
        </w:rPr>
        <w:t>2024</w:t>
      </w:r>
      <w:r>
        <w:rPr>
          <w:rFonts w:hint="default" w:ascii="Times New Roman" w:hAnsi="Times New Roman" w:eastAsia="方正小标宋简体" w:cs="Times New Roman"/>
          <w:color w:val="auto"/>
          <w:sz w:val="42"/>
          <w:szCs w:val="42"/>
          <w:lang w:eastAsia="zh-CN"/>
        </w:rPr>
        <w:t>年</w:t>
      </w:r>
      <w:r>
        <w:rPr>
          <w:rFonts w:hint="default" w:ascii="Times New Roman" w:hAnsi="Times New Roman" w:eastAsia="方正小标宋简体" w:cs="Times New Roman"/>
          <w:color w:val="auto"/>
          <w:sz w:val="42"/>
          <w:szCs w:val="42"/>
        </w:rPr>
        <w:t>）的通知</w:t>
      </w:r>
    </w:p>
    <w:p w14:paraId="17D7C728">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imes New Roman" w:hAnsi="Times New Roman" w:eastAsia="楷体_GB2312" w:cs="楷体_GB2312"/>
          <w:color w:val="auto"/>
          <w:sz w:val="30"/>
          <w:szCs w:val="30"/>
        </w:rPr>
      </w:pPr>
    </w:p>
    <w:p w14:paraId="49F498FB">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imes New Roman" w:hAnsi="Times New Roman" w:eastAsia="楷体_GB2312" w:cs="楷体_GB2312"/>
          <w:snapToGrid w:val="0"/>
          <w:color w:val="auto"/>
          <w:kern w:val="0"/>
          <w:sz w:val="30"/>
          <w:szCs w:val="30"/>
        </w:rPr>
      </w:pPr>
      <w:r>
        <w:rPr>
          <w:rFonts w:hint="eastAsia" w:ascii="Times New Roman" w:hAnsi="Times New Roman" w:eastAsia="楷体_GB2312" w:cs="楷体_GB2312"/>
          <w:snapToGrid w:val="0"/>
          <w:color w:val="auto"/>
          <w:kern w:val="0"/>
          <w:sz w:val="30"/>
          <w:szCs w:val="30"/>
        </w:rPr>
        <w:t>各旗、县、区人民政府、稀土高新区管委会，市直有关部门、单位：</w:t>
      </w:r>
    </w:p>
    <w:p w14:paraId="3B4696B3">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imes New Roman" w:hAnsi="Times New Roman" w:eastAsia="楷体_GB2312" w:cs="楷体_GB2312"/>
          <w:snapToGrid w:val="0"/>
          <w:color w:val="auto"/>
          <w:kern w:val="0"/>
          <w:sz w:val="30"/>
          <w:szCs w:val="30"/>
        </w:rPr>
      </w:pPr>
      <w:r>
        <w:rPr>
          <w:rFonts w:hint="eastAsia" w:ascii="Times New Roman" w:hAnsi="Times New Roman" w:eastAsia="楷体_GB2312" w:cs="楷体_GB2312"/>
          <w:snapToGrid w:val="0"/>
          <w:color w:val="auto"/>
          <w:kern w:val="0"/>
          <w:sz w:val="30"/>
          <w:szCs w:val="30"/>
        </w:rPr>
        <w:t xml:space="preserve">    经市人民政府同意，现将《包头市预制菜产业发展三年行动计划（2022</w:t>
      </w:r>
      <w:r>
        <w:rPr>
          <w:rFonts w:hint="eastAsia" w:ascii="Times New Roman" w:hAnsi="Times New Roman" w:eastAsia="楷体_GB2312" w:cs="楷体_GB2312"/>
          <w:snapToGrid w:val="0"/>
          <w:color w:val="auto"/>
          <w:kern w:val="0"/>
          <w:sz w:val="30"/>
          <w:szCs w:val="30"/>
          <w:lang w:eastAsia="zh-CN"/>
        </w:rPr>
        <w:t>—</w:t>
      </w:r>
      <w:r>
        <w:rPr>
          <w:rFonts w:hint="eastAsia" w:ascii="Times New Roman" w:hAnsi="Times New Roman" w:eastAsia="楷体_GB2312" w:cs="楷体_GB2312"/>
          <w:snapToGrid w:val="0"/>
          <w:color w:val="auto"/>
          <w:kern w:val="0"/>
          <w:sz w:val="30"/>
          <w:szCs w:val="30"/>
        </w:rPr>
        <w:t>2024</w:t>
      </w:r>
      <w:r>
        <w:rPr>
          <w:rFonts w:hint="eastAsia" w:ascii="Times New Roman" w:hAnsi="Times New Roman" w:eastAsia="楷体_GB2312" w:cs="楷体_GB2312"/>
          <w:snapToGrid w:val="0"/>
          <w:color w:val="auto"/>
          <w:kern w:val="0"/>
          <w:sz w:val="30"/>
          <w:szCs w:val="30"/>
          <w:lang w:eastAsia="zh-CN"/>
        </w:rPr>
        <w:t>年</w:t>
      </w:r>
      <w:r>
        <w:rPr>
          <w:rFonts w:hint="eastAsia" w:ascii="Times New Roman" w:hAnsi="Times New Roman" w:eastAsia="楷体_GB2312" w:cs="楷体_GB2312"/>
          <w:snapToGrid w:val="0"/>
          <w:color w:val="auto"/>
          <w:kern w:val="0"/>
          <w:sz w:val="30"/>
          <w:szCs w:val="30"/>
        </w:rPr>
        <w:t>）》印发给你们，请结合实际认真贯彻执行。</w:t>
      </w:r>
    </w:p>
    <w:p w14:paraId="41FAE0F6">
      <w:pPr>
        <w:keepNext w:val="0"/>
        <w:keepLines w:val="0"/>
        <w:pageBreakBefore w:val="0"/>
        <w:widowControl w:val="0"/>
        <w:kinsoku/>
        <w:wordWrap/>
        <w:overflowPunct/>
        <w:topLinePunct w:val="0"/>
        <w:autoSpaceDE/>
        <w:autoSpaceDN/>
        <w:bidi w:val="0"/>
        <w:adjustRightInd/>
        <w:snapToGrid/>
        <w:spacing w:line="580" w:lineRule="exact"/>
        <w:ind w:firstLine="600" w:firstLineChars="200"/>
        <w:jc w:val="both"/>
        <w:textAlignment w:val="auto"/>
        <w:rPr>
          <w:rFonts w:hint="eastAsia" w:ascii="Times New Roman" w:hAnsi="Times New Roman" w:eastAsia="楷体_GB2312" w:cs="楷体_GB2312"/>
          <w:snapToGrid w:val="0"/>
          <w:color w:val="auto"/>
          <w:kern w:val="0"/>
          <w:sz w:val="30"/>
          <w:szCs w:val="30"/>
        </w:rPr>
      </w:pPr>
      <w:r>
        <w:rPr>
          <w:rFonts w:hint="eastAsia" w:ascii="Times New Roman" w:hAnsi="Times New Roman" w:eastAsia="楷体_GB2312" w:cs="楷体_GB2312"/>
          <w:snapToGrid w:val="0"/>
          <w:color w:val="auto"/>
          <w:kern w:val="0"/>
          <w:sz w:val="30"/>
          <w:szCs w:val="30"/>
        </w:rPr>
        <w:t xml:space="preserve">                      </w:t>
      </w:r>
    </w:p>
    <w:p w14:paraId="448CA320">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rPr>
      </w:pPr>
    </w:p>
    <w:p w14:paraId="6E3B0A99">
      <w:pPr>
        <w:keepNext w:val="0"/>
        <w:keepLines w:val="0"/>
        <w:pageBreakBefore w:val="0"/>
        <w:widowControl w:val="0"/>
        <w:tabs>
          <w:tab w:val="left" w:pos="7560"/>
        </w:tabs>
        <w:kinsoku/>
        <w:wordWrap/>
        <w:overflowPunct/>
        <w:topLinePunct w:val="0"/>
        <w:autoSpaceDE/>
        <w:autoSpaceDN/>
        <w:bidi w:val="0"/>
        <w:adjustRightInd/>
        <w:snapToGrid/>
        <w:spacing w:line="460" w:lineRule="exact"/>
        <w:ind w:firstLine="600" w:firstLineChars="200"/>
        <w:jc w:val="both"/>
        <w:textAlignment w:val="auto"/>
        <w:rPr>
          <w:rFonts w:hint="eastAsia" w:ascii="Times New Roman" w:hAnsi="Times New Roman" w:eastAsia="楷体_GB2312" w:cs="楷体_GB2312"/>
          <w:snapToGrid w:val="0"/>
          <w:color w:val="auto"/>
          <w:kern w:val="0"/>
          <w:sz w:val="30"/>
          <w:szCs w:val="30"/>
        </w:rPr>
      </w:pPr>
      <w:r>
        <w:rPr>
          <w:rFonts w:hint="eastAsia" w:ascii="Times New Roman" w:hAnsi="Times New Roman" w:eastAsia="楷体_GB2312" w:cs="楷体_GB2312"/>
          <w:snapToGrid w:val="0"/>
          <w:color w:val="auto"/>
          <w:kern w:val="0"/>
          <w:sz w:val="30"/>
          <w:szCs w:val="30"/>
        </w:rPr>
        <w:t xml:space="preserve">                            </w:t>
      </w:r>
      <w:r>
        <w:rPr>
          <w:rFonts w:hint="eastAsia" w:eastAsia="楷体_GB2312" w:cs="楷体_GB2312"/>
          <w:snapToGrid w:val="0"/>
          <w:color w:val="auto"/>
          <w:kern w:val="0"/>
          <w:sz w:val="30"/>
          <w:szCs w:val="30"/>
          <w:lang w:val="en-US" w:eastAsia="zh-CN"/>
        </w:rPr>
        <w:t xml:space="preserve">    </w:t>
      </w:r>
      <w:r>
        <w:rPr>
          <w:rFonts w:hint="eastAsia" w:ascii="Times New Roman" w:hAnsi="Times New Roman" w:eastAsia="楷体_GB2312" w:cs="楷体_GB2312"/>
          <w:snapToGrid w:val="0"/>
          <w:color w:val="auto"/>
          <w:kern w:val="0"/>
          <w:sz w:val="30"/>
          <w:szCs w:val="30"/>
        </w:rPr>
        <w:t>2022年</w:t>
      </w:r>
      <w:r>
        <w:rPr>
          <w:rFonts w:hint="eastAsia" w:eastAsia="楷体_GB2312" w:cs="楷体_GB2312"/>
          <w:snapToGrid w:val="0"/>
          <w:color w:val="auto"/>
          <w:kern w:val="0"/>
          <w:sz w:val="30"/>
          <w:szCs w:val="30"/>
          <w:lang w:val="en-US" w:eastAsia="zh-CN"/>
        </w:rPr>
        <w:t>8</w:t>
      </w:r>
      <w:r>
        <w:rPr>
          <w:rFonts w:hint="eastAsia" w:ascii="Times New Roman" w:hAnsi="Times New Roman" w:eastAsia="楷体_GB2312" w:cs="楷体_GB2312"/>
          <w:snapToGrid w:val="0"/>
          <w:color w:val="auto"/>
          <w:kern w:val="0"/>
          <w:sz w:val="30"/>
          <w:szCs w:val="30"/>
        </w:rPr>
        <w:t>月</w:t>
      </w:r>
      <w:r>
        <w:rPr>
          <w:rFonts w:hint="eastAsia" w:eastAsia="楷体_GB2312" w:cs="楷体_GB2312"/>
          <w:snapToGrid w:val="0"/>
          <w:color w:val="auto"/>
          <w:kern w:val="0"/>
          <w:sz w:val="30"/>
          <w:szCs w:val="30"/>
          <w:lang w:val="en-US" w:eastAsia="zh-CN"/>
        </w:rPr>
        <w:t>9</w:t>
      </w:r>
      <w:r>
        <w:rPr>
          <w:rFonts w:hint="eastAsia" w:ascii="Times New Roman" w:hAnsi="Times New Roman" w:eastAsia="楷体_GB2312" w:cs="楷体_GB2312"/>
          <w:snapToGrid w:val="0"/>
          <w:color w:val="auto"/>
          <w:kern w:val="0"/>
          <w:sz w:val="30"/>
          <w:szCs w:val="30"/>
        </w:rPr>
        <w:t>日</w:t>
      </w:r>
    </w:p>
    <w:p w14:paraId="67F3A0F4">
      <w:pPr>
        <w:pStyle w:val="3"/>
        <w:keepNext w:val="0"/>
        <w:keepLines w:val="0"/>
        <w:pageBreakBefore w:val="0"/>
        <w:widowControl w:val="0"/>
        <w:kinsoku/>
        <w:wordWrap/>
        <w:overflowPunct/>
        <w:topLinePunct w:val="0"/>
        <w:autoSpaceDE/>
        <w:autoSpaceDN/>
        <w:bidi w:val="0"/>
        <w:adjustRightInd/>
        <w:snapToGrid/>
        <w:spacing w:beforeAutospacing="0" w:after="0" w:afterAutospacing="0" w:line="460" w:lineRule="exact"/>
        <w:ind w:left="0" w:leftChars="0" w:right="0" w:rightChars="0" w:firstLine="600" w:firstLineChars="200"/>
        <w:jc w:val="both"/>
        <w:textAlignment w:val="auto"/>
        <w:outlineLvl w:val="9"/>
        <w:rPr>
          <w:rFonts w:hint="eastAsia" w:ascii="Times New Roman" w:hAnsi="Times New Roman" w:eastAsia="楷体_GB2312" w:cs="楷体_GB2312"/>
          <w:snapToGrid w:val="0"/>
          <w:color w:val="auto"/>
          <w:kern w:val="0"/>
          <w:sz w:val="30"/>
          <w:szCs w:val="30"/>
        </w:rPr>
      </w:pPr>
      <w:r>
        <w:rPr>
          <w:rFonts w:hint="eastAsia" w:ascii="Times New Roman" w:hAnsi="Times New Roman" w:eastAsia="楷体_GB2312" w:cs="楷体_GB2312"/>
          <w:snapToGrid w:val="0"/>
          <w:color w:val="auto"/>
          <w:kern w:val="0"/>
          <w:sz w:val="30"/>
          <w:szCs w:val="30"/>
        </w:rPr>
        <w:t>（此件公开发布）</w:t>
      </w:r>
      <w:r>
        <w:rPr>
          <w:rFonts w:hint="eastAsia" w:ascii="Times New Roman" w:hAnsi="Times New Roman" w:eastAsia="楷体_GB2312" w:cs="楷体_GB2312"/>
          <w:snapToGrid w:val="0"/>
          <w:color w:val="auto"/>
          <w:kern w:val="0"/>
          <w:sz w:val="30"/>
          <w:szCs w:val="30"/>
        </w:rPr>
        <w:br w:type="page"/>
      </w:r>
    </w:p>
    <w:p w14:paraId="0201DCD6">
      <w:pPr>
        <w:rPr>
          <w:rFonts w:hint="eastAsia" w:ascii="Times New Roman" w:hAnsi="Times New Roman" w:eastAsia="楷体_GB2312" w:cs="楷体_GB2312"/>
          <w:snapToGrid w:val="0"/>
          <w:color w:val="auto"/>
          <w:kern w:val="0"/>
          <w:sz w:val="30"/>
          <w:szCs w:val="30"/>
        </w:rPr>
      </w:pPr>
    </w:p>
    <w:p w14:paraId="2B5431AA">
      <w:pPr>
        <w:pStyle w:val="2"/>
        <w:rPr>
          <w:rFonts w:hint="eastAsia" w:ascii="Times New Roman" w:hAnsi="Times New Roman" w:eastAsia="楷体_GB2312" w:cs="楷体_GB2312"/>
          <w:snapToGrid w:val="0"/>
          <w:color w:val="auto"/>
          <w:kern w:val="0"/>
          <w:sz w:val="30"/>
          <w:szCs w:val="30"/>
        </w:rPr>
      </w:pPr>
      <w:r>
        <w:rPr>
          <w:sz w:val="30"/>
        </w:rPr>
        <mc:AlternateContent>
          <mc:Choice Requires="wps">
            <w:drawing>
              <wp:anchor distT="0" distB="0" distL="114935" distR="114935" simplePos="0" relativeHeight="251661312" behindDoc="1" locked="0" layoutInCell="1" allowOverlap="1">
                <wp:simplePos x="0" y="0"/>
                <wp:positionH relativeFrom="column">
                  <wp:posOffset>3327400</wp:posOffset>
                </wp:positionH>
                <wp:positionV relativeFrom="paragraph">
                  <wp:posOffset>8143240</wp:posOffset>
                </wp:positionV>
                <wp:extent cx="2171065" cy="694690"/>
                <wp:effectExtent l="0" t="0" r="0" b="0"/>
                <wp:wrapNone/>
                <wp:docPr id="3" name="文本框 8"/>
                <wp:cNvGraphicFramePr/>
                <a:graphic xmlns:a="http://schemas.openxmlformats.org/drawingml/2006/main">
                  <a:graphicData uri="http://schemas.microsoft.com/office/word/2010/wordprocessingShape">
                    <wps:wsp>
                      <wps:cNvSpPr txBox="1"/>
                      <wps:spPr>
                        <a:xfrm>
                          <a:off x="0" y="0"/>
                          <a:ext cx="2171065" cy="694690"/>
                        </a:xfrm>
                        <a:prstGeom prst="rect">
                          <a:avLst/>
                        </a:prstGeom>
                        <a:noFill/>
                        <a:ln>
                          <a:noFill/>
                        </a:ln>
                      </wps:spPr>
                      <wps:txbx>
                        <w:txbxContent>
                          <w:p w14:paraId="5A91A29D">
                            <w:pPr>
                              <w:rPr>
                                <w:rFonts w:hint="eastAsia" w:eastAsia="宋体"/>
                                <w:lang w:eastAsia="zh-CN"/>
                              </w:rPr>
                            </w:pPr>
                          </w:p>
                        </w:txbxContent>
                      </wps:txbx>
                      <wps:bodyPr vert="horz" wrap="none" lIns="90043" tIns="46863" rIns="90043" bIns="46863" anchor="t" anchorCtr="0" upright="1">
                        <a:spAutoFit/>
                      </wps:bodyPr>
                    </wps:wsp>
                  </a:graphicData>
                </a:graphic>
              </wp:anchor>
            </w:drawing>
          </mc:Choice>
          <mc:Fallback>
            <w:pict>
              <v:shape id="文本框 8" o:spid="_x0000_s1026" o:spt="202" type="#_x0000_t202" style="position:absolute;left:0pt;margin-left:262pt;margin-top:641.2pt;height:54.7pt;width:170.95pt;mso-wrap-style:none;z-index:-251655168;mso-width-relative:page;mso-height-relative:page;" filled="f" stroked="f" coordsize="21600,21600" o:gfxdata="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uCtvXAAAADQEAAA8AAAAAAAAAAQAgAAAAIgAAAGRycy9kb3ducmV2LnhtbFBLAQIUABQAAAAI&#10;AIdO4kBXK8rV7gEAAM0DAAAOAAAAAAAAAAEAIAAAACYBAABkcnMvZTJvRG9jLnhtbFBLBQYAAAAA&#10;BgAGAFkBAACGBQAAAAA=&#10;">
                <v:fill on="f" focussize="0,0"/>
                <v:stroke on="f"/>
                <v:imagedata o:title=""/>
                <o:lock v:ext="edit" aspectratio="f"/>
                <v:textbox inset="7.09pt,1.30175mm,7.09pt,1.30175mm" style="mso-fit-shape-to-text:t;">
                  <w:txbxContent>
                    <w:p w14:paraId="5A91A29D">
                      <w:pPr>
                        <w:rPr>
                          <w:rFonts w:hint="eastAsia" w:eastAsia="宋体"/>
                          <w:lang w:eastAsia="zh-CN"/>
                        </w:rPr>
                      </w:pPr>
                    </w:p>
                  </w:txbxContent>
                </v:textbox>
              </v:shape>
            </w:pict>
          </mc:Fallback>
        </mc:AlternateContent>
      </w:r>
      <w:r>
        <w:rPr>
          <w:sz w:val="30"/>
        </w:rPr>
        <mc:AlternateContent>
          <mc:Choice Requires="wps">
            <w:drawing>
              <wp:anchor distT="0" distB="0" distL="114935" distR="114935" simplePos="0" relativeHeight="251660288" behindDoc="1" locked="0" layoutInCell="1" allowOverlap="1">
                <wp:simplePos x="0" y="0"/>
                <wp:positionH relativeFrom="column">
                  <wp:posOffset>3327400</wp:posOffset>
                </wp:positionH>
                <wp:positionV relativeFrom="paragraph">
                  <wp:posOffset>8143240</wp:posOffset>
                </wp:positionV>
                <wp:extent cx="2171065" cy="694690"/>
                <wp:effectExtent l="0" t="0" r="0" b="0"/>
                <wp:wrapNone/>
                <wp:docPr id="2" name="文本框 6"/>
                <wp:cNvGraphicFramePr/>
                <a:graphic xmlns:a="http://schemas.openxmlformats.org/drawingml/2006/main">
                  <a:graphicData uri="http://schemas.microsoft.com/office/word/2010/wordprocessingShape">
                    <wps:wsp>
                      <wps:cNvSpPr txBox="1"/>
                      <wps:spPr>
                        <a:xfrm>
                          <a:off x="0" y="0"/>
                          <a:ext cx="2171065" cy="694690"/>
                        </a:xfrm>
                        <a:prstGeom prst="rect">
                          <a:avLst/>
                        </a:prstGeom>
                        <a:noFill/>
                        <a:ln>
                          <a:noFill/>
                        </a:ln>
                      </wps:spPr>
                      <wps:txbx>
                        <w:txbxContent>
                          <w:p w14:paraId="0F74D432">
                            <w:pPr>
                              <w:rPr>
                                <w:rFonts w:hint="eastAsia" w:eastAsia="宋体"/>
                                <w:lang w:eastAsia="zh-CN"/>
                              </w:rPr>
                            </w:pPr>
                          </w:p>
                        </w:txbxContent>
                      </wps:txbx>
                      <wps:bodyPr vert="horz" wrap="none" lIns="90043" tIns="46863" rIns="90043" bIns="46863" anchor="t" anchorCtr="0" upright="1">
                        <a:spAutoFit/>
                      </wps:bodyPr>
                    </wps:wsp>
                  </a:graphicData>
                </a:graphic>
              </wp:anchor>
            </w:drawing>
          </mc:Choice>
          <mc:Fallback>
            <w:pict>
              <v:shape id="文本框 6" o:spid="_x0000_s1026" o:spt="202" type="#_x0000_t202" style="position:absolute;left:0pt;margin-left:262pt;margin-top:641.2pt;height:54.7pt;width:170.95pt;mso-wrap-style:none;z-index:-251656192;mso-width-relative:page;mso-height-relative:page;" filled="f" stroked="f" coordsize="21600,21600" o:gfxdata="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uCtvXAAAADQEAAA8AAAAAAAAAAQAgAAAAIgAAAGRycy9kb3ducmV2LnhtbFBLAQIUABQAAAAI&#10;AIdO4kD2ACyt7gEAAM0DAAAOAAAAAAAAAAEAIAAAACYBAABkcnMvZTJvRG9jLnhtbFBLBQYAAAAA&#10;BgAGAFkBAACGBQAAAAA=&#10;">
                <v:fill on="f" focussize="0,0"/>
                <v:stroke on="f"/>
                <v:imagedata o:title=""/>
                <o:lock v:ext="edit" aspectratio="f"/>
                <v:textbox inset="7.09pt,1.30175mm,7.09pt,1.30175mm" style="mso-fit-shape-to-text:t;">
                  <w:txbxContent>
                    <w:p w14:paraId="0F74D432">
                      <w:pPr>
                        <w:rPr>
                          <w:rFonts w:hint="eastAsia" w:eastAsia="宋体"/>
                          <w:lang w:eastAsia="zh-CN"/>
                        </w:rPr>
                      </w:pPr>
                    </w:p>
                  </w:txbxContent>
                </v:textbox>
              </v:shape>
            </w:pict>
          </mc:Fallback>
        </mc:AlternateContent>
      </w:r>
      <w:r>
        <w:rPr>
          <w:sz w:val="30"/>
        </w:rPr>
        <mc:AlternateContent>
          <mc:Choice Requires="wps">
            <w:drawing>
              <wp:anchor distT="0" distB="0" distL="114935" distR="114935" simplePos="0" relativeHeight="251659264" behindDoc="1" locked="0" layoutInCell="1" allowOverlap="1">
                <wp:simplePos x="0" y="0"/>
                <wp:positionH relativeFrom="column">
                  <wp:posOffset>3327400</wp:posOffset>
                </wp:positionH>
                <wp:positionV relativeFrom="paragraph">
                  <wp:posOffset>8143240</wp:posOffset>
                </wp:positionV>
                <wp:extent cx="2171065" cy="694690"/>
                <wp:effectExtent l="0" t="0" r="0" b="0"/>
                <wp:wrapNone/>
                <wp:docPr id="1" name="文本框 4"/>
                <wp:cNvGraphicFramePr/>
                <a:graphic xmlns:a="http://schemas.openxmlformats.org/drawingml/2006/main">
                  <a:graphicData uri="http://schemas.microsoft.com/office/word/2010/wordprocessingShape">
                    <wps:wsp>
                      <wps:cNvSpPr txBox="1"/>
                      <wps:spPr>
                        <a:xfrm>
                          <a:off x="0" y="0"/>
                          <a:ext cx="2171065" cy="694690"/>
                        </a:xfrm>
                        <a:prstGeom prst="rect">
                          <a:avLst/>
                        </a:prstGeom>
                        <a:noFill/>
                        <a:ln>
                          <a:noFill/>
                        </a:ln>
                      </wps:spPr>
                      <wps:txbx>
                        <w:txbxContent>
                          <w:p w14:paraId="3DBF46BF">
                            <w:pPr>
                              <w:rPr>
                                <w:rFonts w:hint="eastAsia" w:eastAsia="宋体"/>
                                <w:lang w:eastAsia="zh-CN"/>
                              </w:rPr>
                            </w:pPr>
                          </w:p>
                        </w:txbxContent>
                      </wps:txbx>
                      <wps:bodyPr vert="horz" wrap="none" lIns="90043" tIns="46863" rIns="90043" bIns="46863" anchor="t" anchorCtr="0" upright="1">
                        <a:spAutoFit/>
                      </wps:bodyPr>
                    </wps:wsp>
                  </a:graphicData>
                </a:graphic>
              </wp:anchor>
            </w:drawing>
          </mc:Choice>
          <mc:Fallback>
            <w:pict>
              <v:shape id="文本框 4" o:spid="_x0000_s1026" o:spt="202" type="#_x0000_t202" style="position:absolute;left:0pt;margin-left:262pt;margin-top:641.2pt;height:54.7pt;width:170.95pt;mso-wrap-style:none;z-index:-251657216;mso-width-relative:page;mso-height-relative:page;" filled="f" stroked="f" coordsize="21600,21600" o:gfxdata="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4K29cAAAANAQAADwAAAAAAAAABACAAAAAiAAAAZHJzL2Rvd25yZXYueG1sUEsBAhQAFAAAAAgA&#10;h07iQJ//Cc3tAQAAzQMAAA4AAAAAAAAAAQAgAAAAJgEAAGRycy9lMm9Eb2MueG1sUEsFBgAAAAAG&#10;AAYAWQEAAIUFAAAAAA==&#10;">
                <v:fill on="f" focussize="0,0"/>
                <v:stroke on="f"/>
                <v:imagedata o:title=""/>
                <o:lock v:ext="edit" aspectratio="f"/>
                <v:textbox inset="7.09pt,1.30175mm,7.09pt,1.30175mm" style="mso-fit-shape-to-text:t;">
                  <w:txbxContent>
                    <w:p w14:paraId="3DBF46BF">
                      <w:pPr>
                        <w:rPr>
                          <w:rFonts w:hint="eastAsia" w:eastAsia="宋体"/>
                          <w:lang w:eastAsia="zh-CN"/>
                        </w:rPr>
                      </w:pPr>
                    </w:p>
                  </w:txbxContent>
                </v:textbox>
              </v:shape>
            </w:pict>
          </mc:Fallback>
        </mc:AlternateContent>
      </w:r>
    </w:p>
    <w:p w14:paraId="476D70FF">
      <w:pPr>
        <w:pStyle w:val="2"/>
        <w:rPr>
          <w:rFonts w:hint="eastAsia" w:ascii="Times New Roman" w:hAnsi="Times New Roman" w:eastAsia="楷体_GB2312" w:cs="楷体_GB2312"/>
          <w:snapToGrid w:val="0"/>
          <w:color w:val="auto"/>
          <w:kern w:val="0"/>
          <w:sz w:val="30"/>
          <w:szCs w:val="30"/>
        </w:rPr>
      </w:pPr>
    </w:p>
    <w:p w14:paraId="6E8DB003">
      <w:pPr>
        <w:pStyle w:val="2"/>
        <w:rPr>
          <w:rFonts w:hint="eastAsia" w:ascii="Times New Roman" w:hAnsi="Times New Roman" w:eastAsia="楷体_GB2312" w:cs="楷体_GB2312"/>
          <w:snapToGrid w:val="0"/>
          <w:color w:val="auto"/>
          <w:kern w:val="0"/>
          <w:sz w:val="30"/>
          <w:szCs w:val="30"/>
        </w:rPr>
      </w:pPr>
    </w:p>
    <w:p w14:paraId="2ABE6D0C">
      <w:pPr>
        <w:pStyle w:val="2"/>
        <w:rPr>
          <w:rFonts w:hint="eastAsia" w:ascii="Times New Roman" w:hAnsi="Times New Roman" w:eastAsia="楷体_GB2312" w:cs="楷体_GB2312"/>
          <w:snapToGrid w:val="0"/>
          <w:color w:val="auto"/>
          <w:kern w:val="0"/>
          <w:sz w:val="30"/>
          <w:szCs w:val="30"/>
        </w:rPr>
      </w:pPr>
    </w:p>
    <w:p w14:paraId="741E17F4">
      <w:pPr>
        <w:pStyle w:val="2"/>
        <w:rPr>
          <w:rFonts w:hint="eastAsia" w:ascii="Times New Roman" w:hAnsi="Times New Roman" w:eastAsia="楷体_GB2312" w:cs="楷体_GB2312"/>
          <w:snapToGrid w:val="0"/>
          <w:color w:val="auto"/>
          <w:kern w:val="0"/>
          <w:sz w:val="30"/>
          <w:szCs w:val="30"/>
        </w:rPr>
      </w:pPr>
    </w:p>
    <w:p w14:paraId="028D16D6">
      <w:pPr>
        <w:pStyle w:val="2"/>
        <w:rPr>
          <w:rFonts w:hint="eastAsia" w:ascii="Times New Roman" w:hAnsi="Times New Roman" w:eastAsia="楷体_GB2312" w:cs="楷体_GB2312"/>
          <w:snapToGrid w:val="0"/>
          <w:color w:val="auto"/>
          <w:kern w:val="0"/>
          <w:sz w:val="30"/>
          <w:szCs w:val="30"/>
        </w:rPr>
      </w:pPr>
    </w:p>
    <w:p w14:paraId="0C2429BA">
      <w:pPr>
        <w:pStyle w:val="2"/>
        <w:rPr>
          <w:rFonts w:hint="eastAsia" w:ascii="Times New Roman" w:hAnsi="Times New Roman" w:eastAsia="楷体_GB2312" w:cs="楷体_GB2312"/>
          <w:snapToGrid w:val="0"/>
          <w:color w:val="auto"/>
          <w:kern w:val="0"/>
          <w:sz w:val="30"/>
          <w:szCs w:val="30"/>
        </w:rPr>
      </w:pPr>
    </w:p>
    <w:p w14:paraId="4206F8D3">
      <w:pPr>
        <w:pStyle w:val="2"/>
        <w:rPr>
          <w:rFonts w:hint="eastAsia" w:ascii="Times New Roman" w:hAnsi="Times New Roman" w:eastAsia="楷体_GB2312" w:cs="楷体_GB2312"/>
          <w:snapToGrid w:val="0"/>
          <w:color w:val="auto"/>
          <w:kern w:val="0"/>
          <w:sz w:val="30"/>
          <w:szCs w:val="30"/>
        </w:rPr>
      </w:pPr>
    </w:p>
    <w:p w14:paraId="79E74AD1">
      <w:pPr>
        <w:pStyle w:val="2"/>
        <w:rPr>
          <w:rFonts w:hint="eastAsia" w:ascii="Times New Roman" w:hAnsi="Times New Roman" w:eastAsia="楷体_GB2312" w:cs="楷体_GB2312"/>
          <w:snapToGrid w:val="0"/>
          <w:color w:val="auto"/>
          <w:kern w:val="0"/>
          <w:sz w:val="30"/>
          <w:szCs w:val="30"/>
        </w:rPr>
      </w:pPr>
    </w:p>
    <w:tbl>
      <w:tblPr>
        <w:tblStyle w:val="7"/>
        <w:tblpPr w:leftFromText="180" w:rightFromText="180" w:vertAnchor="text" w:horzAnchor="page" w:tblpX="1508" w:tblpY="379"/>
        <w:tblOverlap w:val="never"/>
        <w:tblW w:w="0" w:type="auto"/>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6"/>
      </w:tblGrid>
      <w:tr w14:paraId="7D28224B">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8836" w:type="dxa"/>
            <w:tcBorders>
              <w:top w:val="single" w:color="auto" w:sz="12" w:space="0"/>
            </w:tcBorders>
            <w:noWrap w:val="0"/>
            <w:vAlign w:val="center"/>
          </w:tcPr>
          <w:p w14:paraId="67254E1E">
            <w:pPr>
              <w:tabs>
                <w:tab w:val="left" w:pos="210"/>
              </w:tabs>
              <w:snapToGrid w:val="0"/>
              <w:spacing w:line="440" w:lineRule="exact"/>
              <w:ind w:firstLine="240" w:firstLineChars="100"/>
              <w:rPr>
                <w:rFonts w:hint="eastAsia" w:ascii="Times New Roman" w:hAnsi="Times New Roman" w:eastAsia="仿宋_GB2312" w:cs="仿宋_GB2312"/>
                <w:sz w:val="24"/>
              </w:rPr>
            </w:pPr>
            <w:r>
              <w:rPr>
                <w:rFonts w:hint="eastAsia" w:ascii="Times New Roman" w:hAnsi="Times New Roman" w:eastAsia="仿宋_GB2312" w:cs="仿宋_GB2312"/>
                <w:sz w:val="24"/>
              </w:rPr>
              <w:t>抄送：市委办公室。</w:t>
            </w:r>
            <w:r>
              <w:rPr>
                <w:rFonts w:hint="eastAsia" w:ascii="Times New Roman" w:hAnsi="Times New Roman" w:eastAsia="仿宋_GB2312" w:cs="仿宋_GB2312"/>
                <w:spacing w:val="-10"/>
                <w:sz w:val="24"/>
              </w:rPr>
              <w:t xml:space="preserve">  </w:t>
            </w:r>
          </w:p>
          <w:p w14:paraId="0B06D8B1">
            <w:pPr>
              <w:spacing w:line="440" w:lineRule="exact"/>
              <w:rPr>
                <w:rFonts w:hint="eastAsia" w:ascii="Times New Roman" w:hAnsi="Times New Roman" w:eastAsia="仿宋_GB2312" w:cs="仿宋_GB2312"/>
                <w:sz w:val="24"/>
              </w:rPr>
            </w:pPr>
            <w:r>
              <w:rPr>
                <w:rFonts w:hint="eastAsia" w:ascii="Times New Roman" w:hAnsi="Times New Roman" w:eastAsia="仿宋_GB2312" w:cs="仿宋_GB2312"/>
                <w:sz w:val="24"/>
              </w:rPr>
              <w:t xml:space="preserve">        市人大常委会办公室、政协办公室。</w:t>
            </w:r>
          </w:p>
        </w:tc>
      </w:tr>
      <w:tr w14:paraId="1CD8147D">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836" w:type="dxa"/>
            <w:tcBorders>
              <w:bottom w:val="single" w:color="auto" w:sz="12" w:space="0"/>
            </w:tcBorders>
            <w:noWrap w:val="0"/>
            <w:vAlign w:val="bottom"/>
          </w:tcPr>
          <w:p w14:paraId="5C764917">
            <w:pPr>
              <w:spacing w:line="460" w:lineRule="exact"/>
              <w:rPr>
                <w:rFonts w:hint="eastAsia" w:ascii="Times New Roman" w:hAnsi="Times New Roman" w:eastAsia="仿宋_GB2312" w:cs="仿宋_GB2312"/>
                <w:sz w:val="24"/>
              </w:rPr>
            </w:pPr>
            <w:r>
              <w:rPr>
                <w:rFonts w:hint="eastAsia" w:ascii="Times New Roman" w:hAnsi="Times New Roman" w:cs="仿宋_GB2312"/>
                <w:sz w:val="24"/>
                <w:lang w:val="en-US" w:eastAsia="zh-CN"/>
              </w:rPr>
              <w:t xml:space="preserve">  </w:t>
            </w:r>
            <w:r>
              <w:rPr>
                <w:rFonts w:hint="eastAsia" w:ascii="Times New Roman" w:hAnsi="Times New Roman" w:eastAsia="仿宋_GB2312" w:cs="仿宋_GB2312"/>
                <w:sz w:val="24"/>
              </w:rPr>
              <w:t xml:space="preserve">包头市人民政府办公室                          </w:t>
            </w:r>
            <w:r>
              <w:rPr>
                <w:rFonts w:hint="eastAsia" w:ascii="Times New Roman" w:hAnsi="Times New Roman" w:eastAsia="仿宋_GB2312" w:cs="仿宋_GB2312"/>
                <w:sz w:val="24"/>
                <w:lang w:val="en-US" w:eastAsia="zh-CN"/>
              </w:rPr>
              <w:t xml:space="preserve"> </w:t>
            </w:r>
            <w:r>
              <w:rPr>
                <w:rFonts w:hint="eastAsia" w:ascii="Times New Roman" w:hAnsi="Times New Roman" w:eastAsia="仿宋_GB2312" w:cs="仿宋_GB2312"/>
                <w:sz w:val="24"/>
              </w:rPr>
              <w:t xml:space="preserve"> </w:t>
            </w:r>
            <w:r>
              <w:rPr>
                <w:rFonts w:hint="default" w:ascii="Times New Roman" w:hAnsi="Times New Roman" w:eastAsia="仿宋_GB2312" w:cs="Times New Roman"/>
                <w:sz w:val="24"/>
              </w:rPr>
              <w:t>20</w:t>
            </w:r>
            <w:r>
              <w:rPr>
                <w:rFonts w:hint="eastAsia" w:ascii="Times New Roman" w:hAnsi="Times New Roman" w:eastAsia="仿宋_GB2312" w:cs="Times New Roman"/>
                <w:sz w:val="24"/>
                <w:lang w:val="en-US" w:eastAsia="zh-CN"/>
              </w:rPr>
              <w:t>22</w:t>
            </w:r>
            <w:r>
              <w:rPr>
                <w:rFonts w:hint="default" w:ascii="Times New Roman" w:hAnsi="Times New Roman" w:eastAsia="仿宋_GB2312" w:cs="Times New Roman"/>
                <w:sz w:val="24"/>
              </w:rPr>
              <w:t>年</w:t>
            </w:r>
            <w:r>
              <w:rPr>
                <w:rFonts w:hint="eastAsia" w:cs="Times New Roman"/>
                <w:sz w:val="24"/>
                <w:lang w:val="en-US" w:eastAsia="zh-CN"/>
              </w:rPr>
              <w:t>8</w:t>
            </w:r>
            <w:r>
              <w:rPr>
                <w:rFonts w:hint="default" w:ascii="Times New Roman" w:hAnsi="Times New Roman" w:eastAsia="仿宋_GB2312" w:cs="Times New Roman"/>
                <w:sz w:val="24"/>
              </w:rPr>
              <w:t>月</w:t>
            </w:r>
            <w:r>
              <w:rPr>
                <w:rFonts w:hint="eastAsia" w:eastAsia="仿宋_GB2312" w:cs="Times New Roman"/>
                <w:sz w:val="24"/>
                <w:lang w:val="en-US" w:eastAsia="zh-CN"/>
              </w:rPr>
              <w:t>12</w:t>
            </w:r>
            <w:r>
              <w:rPr>
                <w:rFonts w:hint="default" w:ascii="Times New Roman" w:hAnsi="Times New Roman" w:eastAsia="仿宋_GB2312" w:cs="Times New Roman"/>
                <w:sz w:val="24"/>
              </w:rPr>
              <w:t>日</w:t>
            </w:r>
            <w:r>
              <w:rPr>
                <w:rFonts w:hint="eastAsia" w:ascii="Times New Roman" w:hAnsi="Times New Roman" w:eastAsia="仿宋_GB2312" w:cs="仿宋_GB2312"/>
                <w:sz w:val="24"/>
              </w:rPr>
              <w:t>印发</w:t>
            </w:r>
          </w:p>
        </w:tc>
      </w:tr>
    </w:tbl>
    <w:p w14:paraId="221537C2">
      <w:pPr>
        <w:pStyle w:val="2"/>
        <w:rPr>
          <w:rFonts w:hint="eastAsia" w:ascii="Times New Roman" w:hAnsi="Times New Roman" w:eastAsia="楷体_GB2312" w:cs="楷体_GB2312"/>
          <w:snapToGrid w:val="0"/>
          <w:color w:val="auto"/>
          <w:kern w:val="0"/>
          <w:sz w:val="30"/>
          <w:szCs w:val="30"/>
        </w:rPr>
      </w:pPr>
    </w:p>
    <w:p w14:paraId="6FE108AC">
      <w:pPr>
        <w:rPr>
          <w:rFonts w:hint="default" w:ascii="Times New Roman" w:hAnsi="Times New Roman" w:cs="Times New Roman"/>
          <w:sz w:val="40"/>
          <w:szCs w:val="48"/>
        </w:rPr>
      </w:pPr>
    </w:p>
    <w:p w14:paraId="22F18291">
      <w:pPr>
        <w:rPr>
          <w:rFonts w:hint="default" w:ascii="Times New Roman" w:hAnsi="Times New Roman" w:cs="Times New Roman"/>
          <w:sz w:val="40"/>
          <w:szCs w:val="48"/>
        </w:rPr>
      </w:pPr>
    </w:p>
    <w:p w14:paraId="45B09B53">
      <w:pPr>
        <w:rPr>
          <w:rFonts w:hint="default" w:ascii="Times New Roman" w:hAnsi="Times New Roman" w:cs="Times New Roman"/>
          <w:sz w:val="40"/>
          <w:szCs w:val="48"/>
        </w:rPr>
      </w:pPr>
    </w:p>
    <w:p w14:paraId="042B55CD">
      <w:pPr>
        <w:jc w:val="center"/>
        <w:rPr>
          <w:rFonts w:hint="default" w:ascii="Times New Roman" w:hAnsi="Times New Roman" w:eastAsia="方正小标宋_GBK" w:cs="Times New Roman"/>
          <w:sz w:val="48"/>
          <w:szCs w:val="56"/>
        </w:rPr>
      </w:pPr>
      <w:r>
        <w:rPr>
          <w:rFonts w:hint="default" w:ascii="Times New Roman" w:hAnsi="Times New Roman" w:eastAsia="方正小标宋_GBK" w:cs="Times New Roman"/>
          <w:sz w:val="48"/>
          <w:szCs w:val="56"/>
        </w:rPr>
        <w:t>包头市预制菜产业发展三年行动计划</w:t>
      </w:r>
    </w:p>
    <w:p w14:paraId="29F9FD4E">
      <w:pPr>
        <w:jc w:val="center"/>
        <w:rPr>
          <w:rFonts w:hint="default" w:ascii="Times New Roman" w:hAnsi="Times New Roman" w:eastAsia="方正楷体_GBK" w:cs="Times New Roman"/>
          <w:sz w:val="48"/>
          <w:szCs w:val="56"/>
        </w:rPr>
      </w:pPr>
      <w:r>
        <w:rPr>
          <w:rFonts w:hint="default" w:ascii="Times New Roman" w:hAnsi="Times New Roman" w:eastAsia="方正楷体_GBK" w:cs="Times New Roman"/>
          <w:sz w:val="48"/>
          <w:szCs w:val="56"/>
        </w:rPr>
        <w:t>(2022</w:t>
      </w:r>
      <w:r>
        <w:rPr>
          <w:rFonts w:hint="default" w:ascii="Times New Roman" w:hAnsi="Times New Roman" w:eastAsia="方正楷体_GBK" w:cs="Times New Roman"/>
          <w:sz w:val="48"/>
          <w:szCs w:val="56"/>
          <w:lang w:eastAsia="zh-CN"/>
        </w:rPr>
        <w:t>—</w:t>
      </w:r>
      <w:r>
        <w:rPr>
          <w:rFonts w:hint="default" w:ascii="Times New Roman" w:hAnsi="Times New Roman" w:eastAsia="方正楷体_GBK" w:cs="Times New Roman"/>
          <w:sz w:val="48"/>
          <w:szCs w:val="56"/>
        </w:rPr>
        <w:t>2024年)</w:t>
      </w:r>
    </w:p>
    <w:p w14:paraId="78852E92">
      <w:pPr>
        <w:jc w:val="center"/>
        <w:rPr>
          <w:rFonts w:hint="default" w:ascii="Times New Roman" w:hAnsi="Times New Roman" w:eastAsia="方正楷体_GBK" w:cs="Times New Roman"/>
          <w:sz w:val="48"/>
          <w:szCs w:val="56"/>
        </w:rPr>
      </w:pPr>
    </w:p>
    <w:p w14:paraId="3187E9F4">
      <w:pPr>
        <w:jc w:val="center"/>
        <w:rPr>
          <w:rFonts w:hint="default" w:ascii="Times New Roman" w:hAnsi="Times New Roman" w:eastAsia="方正楷体_GBK" w:cs="Times New Roman"/>
          <w:sz w:val="48"/>
          <w:szCs w:val="56"/>
        </w:rPr>
      </w:pPr>
    </w:p>
    <w:p w14:paraId="5DFFCC1F">
      <w:pPr>
        <w:jc w:val="center"/>
        <w:rPr>
          <w:rFonts w:hint="default" w:ascii="Times New Roman" w:hAnsi="Times New Roman" w:eastAsia="方正楷体_GBK" w:cs="Times New Roman"/>
          <w:sz w:val="48"/>
          <w:szCs w:val="56"/>
        </w:rPr>
      </w:pPr>
    </w:p>
    <w:p w14:paraId="406AA677">
      <w:pPr>
        <w:jc w:val="center"/>
        <w:rPr>
          <w:rFonts w:hint="default" w:ascii="Times New Roman" w:hAnsi="Times New Roman" w:eastAsia="方正楷体_GBK" w:cs="Times New Roman"/>
          <w:sz w:val="48"/>
          <w:szCs w:val="56"/>
        </w:rPr>
      </w:pPr>
    </w:p>
    <w:p w14:paraId="3CC35371">
      <w:pPr>
        <w:jc w:val="center"/>
        <w:rPr>
          <w:rFonts w:hint="default" w:ascii="Times New Roman" w:hAnsi="Times New Roman" w:eastAsia="方正楷体_GBK" w:cs="Times New Roman"/>
          <w:sz w:val="48"/>
          <w:szCs w:val="56"/>
        </w:rPr>
      </w:pPr>
    </w:p>
    <w:p w14:paraId="7A021EA8">
      <w:pPr>
        <w:jc w:val="center"/>
        <w:rPr>
          <w:rFonts w:hint="default" w:ascii="Times New Roman" w:hAnsi="Times New Roman" w:eastAsia="方正楷体_GBK" w:cs="Times New Roman"/>
          <w:sz w:val="48"/>
          <w:szCs w:val="56"/>
        </w:rPr>
      </w:pPr>
    </w:p>
    <w:p w14:paraId="7AB80249">
      <w:pPr>
        <w:jc w:val="center"/>
        <w:rPr>
          <w:rFonts w:hint="default" w:ascii="Times New Roman" w:hAnsi="Times New Roman" w:eastAsia="方正楷体_GBK" w:cs="Times New Roman"/>
          <w:sz w:val="48"/>
          <w:szCs w:val="56"/>
        </w:rPr>
      </w:pPr>
    </w:p>
    <w:p w14:paraId="794328A3">
      <w:pPr>
        <w:jc w:val="center"/>
        <w:rPr>
          <w:rFonts w:hint="default" w:ascii="Times New Roman" w:hAnsi="Times New Roman" w:eastAsia="方正楷体_GBK" w:cs="Times New Roman"/>
          <w:sz w:val="48"/>
          <w:szCs w:val="56"/>
        </w:rPr>
      </w:pPr>
    </w:p>
    <w:p w14:paraId="3D33FA0F">
      <w:pPr>
        <w:jc w:val="center"/>
        <w:rPr>
          <w:rFonts w:hint="default" w:ascii="Times New Roman" w:hAnsi="Times New Roman" w:eastAsia="方正楷体_GBK" w:cs="Times New Roman"/>
          <w:sz w:val="48"/>
          <w:szCs w:val="56"/>
        </w:rPr>
      </w:pPr>
    </w:p>
    <w:p w14:paraId="6159996A">
      <w:pPr>
        <w:jc w:val="center"/>
        <w:rPr>
          <w:rFonts w:hint="default" w:ascii="Times New Roman" w:hAnsi="Times New Roman" w:eastAsia="方正楷体_GBK" w:cs="Times New Roman"/>
          <w:sz w:val="48"/>
          <w:szCs w:val="56"/>
        </w:rPr>
      </w:pPr>
    </w:p>
    <w:p w14:paraId="0BCB956F">
      <w:pPr>
        <w:jc w:val="center"/>
        <w:rPr>
          <w:rFonts w:hint="default" w:ascii="Times New Roman" w:hAnsi="Times New Roman" w:eastAsia="方正楷体_GBK" w:cs="Times New Roman"/>
          <w:sz w:val="48"/>
          <w:szCs w:val="56"/>
        </w:rPr>
      </w:pPr>
    </w:p>
    <w:p w14:paraId="51EC60C9">
      <w:pPr>
        <w:jc w:val="center"/>
        <w:rPr>
          <w:rFonts w:hint="default" w:ascii="Times New Roman" w:hAnsi="Times New Roman" w:eastAsia="方正楷体_GBK" w:cs="Times New Roman"/>
          <w:sz w:val="48"/>
          <w:szCs w:val="56"/>
        </w:rPr>
      </w:pPr>
    </w:p>
    <w:p w14:paraId="3C454C66">
      <w:pPr>
        <w:jc w:val="center"/>
        <w:rPr>
          <w:rFonts w:hint="default" w:ascii="Times New Roman" w:hAnsi="Times New Roman" w:eastAsia="方正楷体_GBK" w:cs="Times New Roman"/>
          <w:sz w:val="48"/>
          <w:szCs w:val="56"/>
        </w:rPr>
      </w:pPr>
    </w:p>
    <w:p w14:paraId="2F835E83">
      <w:pPr>
        <w:jc w:val="center"/>
        <w:rPr>
          <w:rFonts w:hint="default" w:ascii="Times New Roman" w:hAnsi="Times New Roman" w:eastAsia="方正楷体_GBK" w:cs="Times New Roman"/>
          <w:sz w:val="48"/>
          <w:szCs w:val="56"/>
        </w:rPr>
      </w:pPr>
    </w:p>
    <w:p w14:paraId="28677B95">
      <w:pPr>
        <w:jc w:val="center"/>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2022年8月</w:t>
      </w:r>
    </w:p>
    <w:p w14:paraId="780686C6">
      <w:pPr>
        <w:jc w:val="center"/>
        <w:rPr>
          <w:rFonts w:hint="default" w:ascii="Times New Roman" w:hAnsi="Times New Roman" w:eastAsia="方正小标宋_GBK" w:cs="Times New Roman"/>
          <w:sz w:val="40"/>
          <w:szCs w:val="48"/>
        </w:rPr>
      </w:pPr>
    </w:p>
    <w:p w14:paraId="3A40054C">
      <w:pPr>
        <w:jc w:val="center"/>
        <w:rPr>
          <w:rFonts w:hint="default" w:ascii="Times New Roman" w:hAnsi="Times New Roman" w:eastAsia="方正小标宋_GBK" w:cs="Times New Roman"/>
          <w:sz w:val="40"/>
          <w:szCs w:val="48"/>
        </w:rPr>
      </w:pPr>
      <w:r>
        <w:rPr>
          <w:rFonts w:hint="default" w:ascii="Times New Roman" w:hAnsi="Times New Roman" w:eastAsia="方正小标宋_GBK" w:cs="Times New Roman"/>
          <w:sz w:val="40"/>
          <w:szCs w:val="48"/>
        </w:rPr>
        <w:t>前</w:t>
      </w:r>
      <w:r>
        <w:rPr>
          <w:rFonts w:hint="default" w:ascii="Times New Roman" w:hAnsi="Times New Roman" w:eastAsia="方正小标宋_GBK" w:cs="Times New Roman"/>
          <w:sz w:val="40"/>
          <w:szCs w:val="48"/>
          <w:lang w:val="en-US" w:eastAsia="zh-CN"/>
        </w:rPr>
        <w:t xml:space="preserve">  </w:t>
      </w:r>
      <w:r>
        <w:rPr>
          <w:rFonts w:hint="default" w:ascii="Times New Roman" w:hAnsi="Times New Roman" w:eastAsia="方正小标宋_GBK" w:cs="Times New Roman"/>
          <w:sz w:val="40"/>
          <w:szCs w:val="48"/>
        </w:rPr>
        <w:t>言</w:t>
      </w:r>
    </w:p>
    <w:p w14:paraId="409541BC">
      <w:pPr>
        <w:jc w:val="center"/>
        <w:rPr>
          <w:rFonts w:hint="default" w:ascii="Times New Roman" w:hAnsi="Times New Roman" w:eastAsia="方正楷体_GBK" w:cs="Times New Roman"/>
          <w:sz w:val="32"/>
          <w:szCs w:val="40"/>
        </w:rPr>
      </w:pPr>
    </w:p>
    <w:p w14:paraId="204D462C">
      <w:pPr>
        <w:ind w:firstLine="640" w:firstLineChars="200"/>
        <w:jc w:val="left"/>
        <w:rPr>
          <w:rFonts w:hint="default"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rPr>
        <w:t>党的十八大以来，习近平总书记站在统筹中华民族伟大复兴战略全局和世界百年未有之大变局的高度，就做好“三农”工作发表一系列重要论述，科学回答了农村改革发展的一系列重大理论和实践问题，指引农业农村发展取得历史性成就、发生历史性变革，为我们在新时代开展“三农”工作，提供了总纲领、总依据、总遵循。2021年3月5日，习近平总书记参加十三届全国人大四次会议内蒙古代表团审议时提出，要把内蒙古建设成为国家重要农畜产品生产基地。</w:t>
      </w:r>
    </w:p>
    <w:p w14:paraId="56E03A3C">
      <w:p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为深入贯彻落实习近平总书记关于“三农”工作重要论述和对内蒙古重要讲话重要指示批示精神，落实自治区“两个屏障”“两个基地”“一个桥头堡”的战略定位，全力建设在全国有重要影响力的农畜产品加工产业基地，立足本地黄河流域农业资源禀赋，制定本计划。计划范围为包头市全境，计划期至2024年。</w:t>
      </w:r>
    </w:p>
    <w:p w14:paraId="4B316264">
      <w:pPr>
        <w:ind w:firstLine="640" w:firstLineChars="200"/>
        <w:jc w:val="left"/>
        <w:rPr>
          <w:rFonts w:hint="default" w:ascii="Times New Roman" w:hAnsi="Times New Roman" w:eastAsia="方正楷体_GBK" w:cs="Times New Roman"/>
          <w:sz w:val="32"/>
          <w:szCs w:val="40"/>
        </w:rPr>
      </w:pPr>
    </w:p>
    <w:p w14:paraId="5A0B08A1">
      <w:pPr>
        <w:ind w:firstLine="640" w:firstLineChars="200"/>
        <w:jc w:val="left"/>
        <w:rPr>
          <w:rFonts w:hint="default" w:ascii="Times New Roman" w:hAnsi="Times New Roman" w:eastAsia="方正楷体_GBK" w:cs="Times New Roman"/>
          <w:sz w:val="32"/>
          <w:szCs w:val="40"/>
        </w:rPr>
      </w:pPr>
    </w:p>
    <w:p w14:paraId="12768EA3">
      <w:pPr>
        <w:ind w:firstLine="640" w:firstLineChars="200"/>
        <w:jc w:val="left"/>
        <w:rPr>
          <w:rFonts w:hint="default" w:ascii="Times New Roman" w:hAnsi="Times New Roman" w:eastAsia="方正楷体_GBK" w:cs="Times New Roman"/>
          <w:sz w:val="32"/>
          <w:szCs w:val="40"/>
        </w:rPr>
      </w:pPr>
    </w:p>
    <w:p w14:paraId="35BC9C47">
      <w:pPr>
        <w:ind w:firstLine="640" w:firstLineChars="200"/>
        <w:jc w:val="left"/>
        <w:rPr>
          <w:rFonts w:hint="default" w:ascii="Times New Roman" w:hAnsi="Times New Roman" w:eastAsia="方正楷体_GBK" w:cs="Times New Roman"/>
          <w:sz w:val="32"/>
          <w:szCs w:val="40"/>
        </w:rPr>
      </w:pPr>
    </w:p>
    <w:p w14:paraId="62DE4B43">
      <w:pPr>
        <w:ind w:firstLine="640" w:firstLineChars="200"/>
        <w:jc w:val="left"/>
        <w:rPr>
          <w:rFonts w:hint="default" w:ascii="Times New Roman" w:hAnsi="Times New Roman" w:eastAsia="方正楷体_GBK" w:cs="Times New Roman"/>
          <w:sz w:val="32"/>
          <w:szCs w:val="40"/>
        </w:rPr>
      </w:pPr>
    </w:p>
    <w:p w14:paraId="2A92786E">
      <w:pPr>
        <w:ind w:firstLine="640" w:firstLineChars="200"/>
        <w:jc w:val="left"/>
        <w:rPr>
          <w:rFonts w:hint="default" w:ascii="Times New Roman" w:hAnsi="Times New Roman" w:eastAsia="方正楷体_GBK" w:cs="Times New Roman"/>
          <w:sz w:val="32"/>
          <w:szCs w:val="40"/>
        </w:rPr>
      </w:pPr>
    </w:p>
    <w:p w14:paraId="5A6ADB3B">
      <w:pPr>
        <w:ind w:firstLine="640" w:firstLineChars="200"/>
        <w:jc w:val="center"/>
        <w:rPr>
          <w:rFonts w:hint="default" w:ascii="Times New Roman" w:hAnsi="Times New Roman" w:eastAsia="方正小标宋_GBK" w:cs="Times New Roman"/>
          <w:sz w:val="32"/>
          <w:szCs w:val="40"/>
        </w:rPr>
      </w:pPr>
    </w:p>
    <w:p w14:paraId="128C5DC1">
      <w:pPr>
        <w:jc w:val="center"/>
        <w:rPr>
          <w:rFonts w:hint="default" w:ascii="Times New Roman" w:hAnsi="Times New Roman" w:eastAsia="方正小标宋_GBK" w:cs="Times New Roman"/>
          <w:sz w:val="40"/>
          <w:szCs w:val="48"/>
        </w:rPr>
      </w:pPr>
      <w:r>
        <w:rPr>
          <w:rFonts w:hint="default" w:ascii="Times New Roman" w:hAnsi="Times New Roman" w:eastAsia="方正小标宋_GBK" w:cs="Times New Roman"/>
          <w:sz w:val="40"/>
          <w:szCs w:val="48"/>
        </w:rPr>
        <w:t>目</w:t>
      </w:r>
      <w:r>
        <w:rPr>
          <w:rFonts w:hint="default" w:ascii="Times New Roman" w:hAnsi="Times New Roman" w:eastAsia="方正小标宋_GBK" w:cs="Times New Roman"/>
          <w:sz w:val="40"/>
          <w:szCs w:val="48"/>
          <w:lang w:val="en-US" w:eastAsia="zh-CN"/>
        </w:rPr>
        <w:t xml:space="preserve">  </w:t>
      </w:r>
      <w:r>
        <w:rPr>
          <w:rFonts w:hint="default" w:ascii="Times New Roman" w:hAnsi="Times New Roman" w:eastAsia="方正小标宋_GBK" w:cs="Times New Roman"/>
          <w:sz w:val="40"/>
          <w:szCs w:val="48"/>
        </w:rPr>
        <w:t>录</w:t>
      </w:r>
    </w:p>
    <w:p w14:paraId="2FEF430A">
      <w:pPr>
        <w:ind w:firstLine="640" w:firstLineChars="200"/>
        <w:jc w:val="center"/>
        <w:rPr>
          <w:rFonts w:hint="default" w:ascii="Times New Roman" w:hAnsi="Times New Roman" w:eastAsia="方正小标宋_GBK" w:cs="Times New Roman"/>
          <w:sz w:val="32"/>
          <w:szCs w:val="40"/>
        </w:rPr>
      </w:pPr>
    </w:p>
    <w:p w14:paraId="1C85BF29">
      <w:pPr>
        <w:numPr>
          <w:ilvl w:val="0"/>
          <w:numId w:val="0"/>
        </w:numPr>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lang w:eastAsia="zh-CN"/>
        </w:rPr>
        <w:t>一、</w:t>
      </w:r>
      <w:r>
        <w:rPr>
          <w:rFonts w:hint="default" w:ascii="Times New Roman" w:hAnsi="Times New Roman" w:eastAsia="方正楷体_GBK" w:cs="Times New Roman"/>
          <w:sz w:val="32"/>
          <w:szCs w:val="40"/>
        </w:rPr>
        <w:t>预制菜产业发展现状</w:t>
      </w:r>
      <w:r>
        <w:rPr>
          <w:rFonts w:hint="eastAsia" w:ascii="Times New Roman" w:hAnsi="Times New Roman" w:eastAsia="方正楷体_GBK" w:cs="Times New Roman"/>
          <w:sz w:val="32"/>
          <w:szCs w:val="40"/>
          <w:lang w:val="en-US" w:eastAsia="zh-CN"/>
        </w:rPr>
        <w:t xml:space="preserve"> </w:t>
      </w:r>
      <w:r>
        <w:rPr>
          <w:rFonts w:hint="default" w:ascii="Times New Roman" w:hAnsi="Times New Roman" w:eastAsia="方正楷体_GBK" w:cs="Times New Roman"/>
          <w:sz w:val="32"/>
          <w:szCs w:val="40"/>
        </w:rPr>
        <w:t>‥‥‥‥‥‥‥‥‥‥‥‥‥</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w:t>
      </w:r>
      <w:r>
        <w:rPr>
          <w:rFonts w:hint="eastAsia" w:ascii="Times New Roman" w:hAnsi="Times New Roman" w:eastAsia="方正楷体_GBK" w:cs="Times New Roman"/>
          <w:sz w:val="32"/>
          <w:szCs w:val="40"/>
          <w:lang w:eastAsia="zh-CN"/>
        </w:rPr>
        <w:t>）</w:t>
      </w:r>
    </w:p>
    <w:p w14:paraId="04E75B89">
      <w:pPr>
        <w:numPr>
          <w:ilvl w:val="0"/>
          <w:numId w:val="0"/>
        </w:numPr>
        <w:ind w:firstLine="640" w:firstLineChars="200"/>
        <w:jc w:val="left"/>
        <w:rPr>
          <w:rFonts w:hint="eastAsia"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rPr>
        <w:t>（一）国外预制菜产业现状‥‥‥‥‥‥‥‥‥‥</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w:t>
      </w:r>
      <w:r>
        <w:rPr>
          <w:rFonts w:hint="eastAsia" w:ascii="Times New Roman" w:hAnsi="Times New Roman" w:eastAsia="方正楷体_GBK" w:cs="Times New Roman"/>
          <w:sz w:val="32"/>
          <w:szCs w:val="40"/>
          <w:lang w:eastAsia="zh-CN"/>
        </w:rPr>
        <w:t>）</w:t>
      </w:r>
    </w:p>
    <w:p w14:paraId="506D5561">
      <w:pPr>
        <w:numPr>
          <w:ilvl w:val="0"/>
          <w:numId w:val="0"/>
        </w:numPr>
        <w:ind w:firstLine="640" w:firstLineChars="200"/>
        <w:jc w:val="left"/>
        <w:rPr>
          <w:rFonts w:hint="eastAsia"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rPr>
        <w:t>（二）中国预制菜产业现状‥‥‥‥‥‥‥‥‥‥</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w:t>
      </w:r>
      <w:r>
        <w:rPr>
          <w:rFonts w:hint="eastAsia" w:ascii="Times New Roman" w:hAnsi="Times New Roman" w:eastAsia="方正楷体_GBK" w:cs="Times New Roman"/>
          <w:sz w:val="32"/>
          <w:szCs w:val="40"/>
          <w:lang w:eastAsia="zh-CN"/>
        </w:rPr>
        <w:t>）</w:t>
      </w:r>
    </w:p>
    <w:p w14:paraId="68CF6D4A">
      <w:pPr>
        <w:numPr>
          <w:ilvl w:val="0"/>
          <w:numId w:val="0"/>
        </w:numPr>
        <w:ind w:firstLine="640" w:firstLineChars="200"/>
        <w:jc w:val="left"/>
        <w:rPr>
          <w:rFonts w:hint="eastAsia"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rPr>
        <w:t>（三）包头市预制菜产业现状‥‥‥‥‥‥‥‥‥</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4</w:t>
      </w:r>
      <w:r>
        <w:rPr>
          <w:rFonts w:hint="eastAsia" w:ascii="Times New Roman" w:hAnsi="Times New Roman" w:eastAsia="方正楷体_GBK" w:cs="Times New Roman"/>
          <w:sz w:val="32"/>
          <w:szCs w:val="40"/>
          <w:lang w:eastAsia="zh-CN"/>
        </w:rPr>
        <w:t>）</w:t>
      </w:r>
    </w:p>
    <w:p w14:paraId="4D7A8898">
      <w:pPr>
        <w:numPr>
          <w:ilvl w:val="0"/>
          <w:numId w:val="0"/>
        </w:numPr>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二、预制菜产业发展优势</w:t>
      </w:r>
      <w:r>
        <w:rPr>
          <w:rFonts w:hint="eastAsia" w:ascii="Times New Roman" w:hAnsi="Times New Roman" w:eastAsia="方正楷体_GBK" w:cs="Times New Roman"/>
          <w:sz w:val="32"/>
          <w:szCs w:val="40"/>
          <w:lang w:val="en-US" w:eastAsia="zh-CN"/>
        </w:rPr>
        <w:t xml:space="preserve"> </w:t>
      </w:r>
      <w:r>
        <w:rPr>
          <w:rFonts w:hint="default" w:ascii="Times New Roman" w:hAnsi="Times New Roman" w:eastAsia="方正楷体_GBK" w:cs="Times New Roman"/>
          <w:sz w:val="32"/>
          <w:szCs w:val="40"/>
        </w:rPr>
        <w:t>‥‥‥‥‥‥‥‥‥‥‥‥‥</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5</w:t>
      </w:r>
      <w:r>
        <w:rPr>
          <w:rFonts w:hint="eastAsia" w:ascii="Times New Roman" w:hAnsi="Times New Roman" w:eastAsia="方正楷体_GBK" w:cs="Times New Roman"/>
          <w:sz w:val="32"/>
          <w:szCs w:val="40"/>
          <w:lang w:eastAsia="zh-CN"/>
        </w:rPr>
        <w:t>）</w:t>
      </w:r>
    </w:p>
    <w:p w14:paraId="29115317">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（一）自然条件优越‥‥‥‥‥‥‥‥‥‥‥‥‥</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5</w:t>
      </w:r>
      <w:r>
        <w:rPr>
          <w:rFonts w:hint="eastAsia" w:ascii="Times New Roman" w:hAnsi="Times New Roman" w:eastAsia="方正楷体_GBK" w:cs="Times New Roman"/>
          <w:sz w:val="32"/>
          <w:szCs w:val="40"/>
          <w:lang w:eastAsia="zh-CN"/>
        </w:rPr>
        <w:t>）</w:t>
      </w:r>
    </w:p>
    <w:p w14:paraId="7C8E3E53">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（二）农牧业资源丰富‥‥‥‥‥‥‥‥‥‥‥‥</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6</w:t>
      </w:r>
      <w:r>
        <w:rPr>
          <w:rFonts w:hint="eastAsia" w:ascii="Times New Roman" w:hAnsi="Times New Roman" w:eastAsia="方正楷体_GBK" w:cs="Times New Roman"/>
          <w:sz w:val="32"/>
          <w:szCs w:val="40"/>
          <w:lang w:eastAsia="zh-CN"/>
        </w:rPr>
        <w:t>）</w:t>
      </w:r>
    </w:p>
    <w:p w14:paraId="6A259048">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（三）产业基础扎实‥‥‥‥‥‥‥‥‥‥‥‥‥</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6</w:t>
      </w:r>
      <w:r>
        <w:rPr>
          <w:rFonts w:hint="eastAsia" w:ascii="Times New Roman" w:hAnsi="Times New Roman" w:eastAsia="方正楷体_GBK" w:cs="Times New Roman"/>
          <w:sz w:val="32"/>
          <w:szCs w:val="40"/>
          <w:lang w:eastAsia="zh-CN"/>
        </w:rPr>
        <w:t>）</w:t>
      </w:r>
    </w:p>
    <w:p w14:paraId="0722CB66">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（四）品牌优势明显‥‥‥‥‥‥‥‥‥‥‥‥‥</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7</w:t>
      </w:r>
      <w:r>
        <w:rPr>
          <w:rFonts w:hint="eastAsia" w:ascii="Times New Roman" w:hAnsi="Times New Roman" w:eastAsia="方正楷体_GBK" w:cs="Times New Roman"/>
          <w:sz w:val="32"/>
          <w:szCs w:val="40"/>
          <w:lang w:eastAsia="zh-CN"/>
        </w:rPr>
        <w:t>）</w:t>
      </w:r>
    </w:p>
    <w:p w14:paraId="43A56AD3">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（五）市场空间广阔‥‥‥‥‥‥‥‥‥‥‥‥‥</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7</w:t>
      </w:r>
      <w:r>
        <w:rPr>
          <w:rFonts w:hint="eastAsia" w:ascii="Times New Roman" w:hAnsi="Times New Roman" w:eastAsia="方正楷体_GBK" w:cs="Times New Roman"/>
          <w:sz w:val="32"/>
          <w:szCs w:val="40"/>
          <w:lang w:eastAsia="zh-CN"/>
        </w:rPr>
        <w:t>）</w:t>
      </w:r>
    </w:p>
    <w:p w14:paraId="5E5CBD22">
      <w:pPr>
        <w:numPr>
          <w:ilvl w:val="0"/>
          <w:numId w:val="0"/>
        </w:numPr>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三、发展思路和目标‥‥‥‥‥‥‥‥‥‥‥‥‥‥‥</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7</w:t>
      </w:r>
      <w:r>
        <w:rPr>
          <w:rFonts w:hint="eastAsia" w:ascii="Times New Roman" w:hAnsi="Times New Roman" w:eastAsia="方正楷体_GBK" w:cs="Times New Roman"/>
          <w:sz w:val="32"/>
          <w:szCs w:val="40"/>
          <w:lang w:eastAsia="zh-CN"/>
        </w:rPr>
        <w:t>）</w:t>
      </w:r>
    </w:p>
    <w:p w14:paraId="0E725E91">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（一）指导思想‥‥‥‥‥‥‥‥‥‥‥‥‥‥‥</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7</w:t>
      </w:r>
      <w:r>
        <w:rPr>
          <w:rFonts w:hint="eastAsia" w:ascii="Times New Roman" w:hAnsi="Times New Roman" w:eastAsia="方正楷体_GBK" w:cs="Times New Roman"/>
          <w:sz w:val="32"/>
          <w:szCs w:val="40"/>
          <w:lang w:eastAsia="zh-CN"/>
        </w:rPr>
        <w:t>）</w:t>
      </w:r>
    </w:p>
    <w:p w14:paraId="3CA53E52">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（二）发展目标‥‥‥‥‥‥‥‥‥‥‥‥‥‥‥</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8</w:t>
      </w:r>
      <w:r>
        <w:rPr>
          <w:rFonts w:hint="eastAsia" w:ascii="Times New Roman" w:hAnsi="Times New Roman" w:eastAsia="方正楷体_GBK" w:cs="Times New Roman"/>
          <w:sz w:val="32"/>
          <w:szCs w:val="40"/>
          <w:lang w:eastAsia="zh-CN"/>
        </w:rPr>
        <w:t>）</w:t>
      </w:r>
    </w:p>
    <w:p w14:paraId="27BF6BF4">
      <w:pPr>
        <w:numPr>
          <w:ilvl w:val="0"/>
          <w:numId w:val="0"/>
        </w:numPr>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四、产业布局‥‥‥‥‥‥‥‥‥‥‥‥‥‥‥‥‥‥</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8</w:t>
      </w:r>
      <w:r>
        <w:rPr>
          <w:rFonts w:hint="eastAsia" w:ascii="Times New Roman" w:hAnsi="Times New Roman" w:eastAsia="方正楷体_GBK" w:cs="Times New Roman"/>
          <w:sz w:val="32"/>
          <w:szCs w:val="40"/>
          <w:lang w:eastAsia="zh-CN"/>
        </w:rPr>
        <w:t>）</w:t>
      </w:r>
    </w:p>
    <w:p w14:paraId="3F4F8939">
      <w:pPr>
        <w:numPr>
          <w:ilvl w:val="0"/>
          <w:numId w:val="0"/>
        </w:numPr>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五、构筑产业链条‥‥‥‥‥‥‥‥‥‥‥‥‥‥‥‥</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9</w:t>
      </w:r>
      <w:r>
        <w:rPr>
          <w:rFonts w:hint="eastAsia" w:ascii="Times New Roman" w:hAnsi="Times New Roman" w:eastAsia="方正楷体_GBK" w:cs="Times New Roman"/>
          <w:sz w:val="32"/>
          <w:szCs w:val="40"/>
          <w:lang w:eastAsia="zh-CN"/>
        </w:rPr>
        <w:t>）</w:t>
      </w:r>
    </w:p>
    <w:p w14:paraId="10E5554F">
      <w:pPr>
        <w:numPr>
          <w:ilvl w:val="0"/>
          <w:numId w:val="0"/>
        </w:numPr>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六、重点任务‥‥‥‥‥‥‥‥‥‥‥‥‥‥‥‥‥‥</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13</w:t>
      </w:r>
      <w:r>
        <w:rPr>
          <w:rFonts w:hint="eastAsia" w:ascii="Times New Roman" w:hAnsi="Times New Roman" w:eastAsia="方正楷体_GBK" w:cs="Times New Roman"/>
          <w:sz w:val="32"/>
          <w:szCs w:val="40"/>
          <w:lang w:eastAsia="zh-CN"/>
        </w:rPr>
        <w:t>）</w:t>
      </w:r>
    </w:p>
    <w:p w14:paraId="78AABB4F">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（一）加强园区建设‥‥‥‥‥‥‥‥‥‥‥‥‥</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13</w:t>
      </w:r>
      <w:r>
        <w:rPr>
          <w:rFonts w:hint="eastAsia" w:ascii="Times New Roman" w:hAnsi="Times New Roman" w:eastAsia="方正楷体_GBK" w:cs="Times New Roman"/>
          <w:sz w:val="32"/>
          <w:szCs w:val="40"/>
          <w:lang w:eastAsia="zh-CN"/>
        </w:rPr>
        <w:t>）</w:t>
      </w:r>
    </w:p>
    <w:p w14:paraId="56EC2DEE">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（二）顶格推进招商引资‥‥‥‥‥‥‥‥‥‥‥</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14</w:t>
      </w:r>
      <w:r>
        <w:rPr>
          <w:rFonts w:hint="eastAsia" w:ascii="Times New Roman" w:hAnsi="Times New Roman" w:eastAsia="方正楷体_GBK" w:cs="Times New Roman"/>
          <w:sz w:val="32"/>
          <w:szCs w:val="40"/>
          <w:lang w:eastAsia="zh-CN"/>
        </w:rPr>
        <w:t>）</w:t>
      </w:r>
    </w:p>
    <w:p w14:paraId="53DC5908">
      <w:pPr>
        <w:numPr>
          <w:ilvl w:val="0"/>
          <w:numId w:val="0"/>
        </w:numPr>
        <w:ind w:firstLine="640" w:firstLineChars="200"/>
        <w:jc w:val="left"/>
        <w:rPr>
          <w:rFonts w:hint="eastAsia"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rPr>
        <w:t>（三）发展终端市场‥‥‥‥‥‥‥‥‥‥‥‥‥</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14</w:t>
      </w:r>
      <w:r>
        <w:rPr>
          <w:rFonts w:hint="eastAsia" w:ascii="Times New Roman" w:hAnsi="Times New Roman" w:eastAsia="方正楷体_GBK" w:cs="Times New Roman"/>
          <w:sz w:val="32"/>
          <w:szCs w:val="40"/>
          <w:lang w:eastAsia="zh-CN"/>
        </w:rPr>
        <w:t>）</w:t>
      </w:r>
    </w:p>
    <w:p w14:paraId="13079229">
      <w:pPr>
        <w:ind w:firstLine="640" w:firstLineChars="200"/>
        <w:jc w:val="left"/>
        <w:rPr>
          <w:rFonts w:hint="default" w:ascii="Times New Roman" w:hAnsi="Times New Roman" w:eastAsia="方正楷体_GBK" w:cs="Times New Roman"/>
          <w:sz w:val="32"/>
          <w:szCs w:val="40"/>
        </w:rPr>
      </w:pPr>
    </w:p>
    <w:p w14:paraId="25E23CFC">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（四）加强品牌建设‥‥‥‥‥‥‥‥‥‥‥‥‥</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14</w:t>
      </w:r>
      <w:r>
        <w:rPr>
          <w:rFonts w:hint="eastAsia" w:ascii="Times New Roman" w:hAnsi="Times New Roman" w:eastAsia="方正楷体_GBK" w:cs="Times New Roman"/>
          <w:sz w:val="32"/>
          <w:szCs w:val="40"/>
          <w:lang w:eastAsia="zh-CN"/>
        </w:rPr>
        <w:t>）</w:t>
      </w:r>
    </w:p>
    <w:p w14:paraId="2ABEBF70">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（五）加强食品安全监管‥‥‥‥‥‥‥‥‥‥‥</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15</w:t>
      </w:r>
      <w:r>
        <w:rPr>
          <w:rFonts w:hint="eastAsia" w:ascii="Times New Roman" w:hAnsi="Times New Roman" w:eastAsia="方正楷体_GBK" w:cs="Times New Roman"/>
          <w:sz w:val="32"/>
          <w:szCs w:val="40"/>
          <w:lang w:eastAsia="zh-CN"/>
        </w:rPr>
        <w:t>）</w:t>
      </w:r>
    </w:p>
    <w:p w14:paraId="0AA63CC6">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（六）加强人才队伍建设‥‥‥‥‥‥‥‥‥‥‥</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15</w:t>
      </w:r>
      <w:r>
        <w:rPr>
          <w:rFonts w:hint="eastAsia" w:ascii="Times New Roman" w:hAnsi="Times New Roman" w:eastAsia="方正楷体_GBK" w:cs="Times New Roman"/>
          <w:sz w:val="32"/>
          <w:szCs w:val="40"/>
          <w:lang w:eastAsia="zh-CN"/>
        </w:rPr>
        <w:t>）</w:t>
      </w:r>
      <w:r>
        <w:rPr>
          <w:rFonts w:hint="default" w:ascii="Times New Roman" w:hAnsi="Times New Roman" w:eastAsia="方正楷体_GBK" w:cs="Times New Roman"/>
          <w:sz w:val="32"/>
          <w:szCs w:val="40"/>
        </w:rPr>
        <w:t>七、保障措施‥‥‥‥‥‥‥‥‥‥‥‥‥‥‥‥‥‥</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15</w:t>
      </w:r>
      <w:r>
        <w:rPr>
          <w:rFonts w:hint="eastAsia" w:ascii="Times New Roman" w:hAnsi="Times New Roman" w:eastAsia="方正楷体_GBK" w:cs="Times New Roman"/>
          <w:sz w:val="32"/>
          <w:szCs w:val="40"/>
          <w:lang w:eastAsia="zh-CN"/>
        </w:rPr>
        <w:t>）</w:t>
      </w:r>
    </w:p>
    <w:p w14:paraId="357AB8BF">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（一）加强组织领导‥‥‥‥‥‥‥‥‥‥‥‥‥</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15</w:t>
      </w:r>
      <w:r>
        <w:rPr>
          <w:rFonts w:hint="eastAsia" w:ascii="Times New Roman" w:hAnsi="Times New Roman" w:eastAsia="方正楷体_GBK" w:cs="Times New Roman"/>
          <w:sz w:val="32"/>
          <w:szCs w:val="40"/>
          <w:lang w:eastAsia="zh-CN"/>
        </w:rPr>
        <w:t>）</w:t>
      </w:r>
    </w:p>
    <w:p w14:paraId="3644C8DF">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（二）加强财政金融政策支持‥‥‥‥‥‥‥‥‥</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16</w:t>
      </w:r>
      <w:r>
        <w:rPr>
          <w:rFonts w:hint="eastAsia" w:ascii="Times New Roman" w:hAnsi="Times New Roman" w:eastAsia="方正楷体_GBK" w:cs="Times New Roman"/>
          <w:sz w:val="32"/>
          <w:szCs w:val="40"/>
          <w:lang w:eastAsia="zh-CN"/>
        </w:rPr>
        <w:t>）</w:t>
      </w:r>
    </w:p>
    <w:p w14:paraId="2EEF077A">
      <w:pPr>
        <w:numPr>
          <w:ilvl w:val="0"/>
          <w:numId w:val="0"/>
        </w:numPr>
        <w:ind w:firstLine="640" w:firstLineChars="200"/>
        <w:jc w:val="left"/>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（三）加强监督考核‥‥‥‥‥‥‥‥‥‥‥‥‥</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17</w:t>
      </w:r>
      <w:r>
        <w:rPr>
          <w:rFonts w:hint="eastAsia" w:ascii="Times New Roman" w:hAnsi="Times New Roman" w:eastAsia="方正楷体_GBK" w:cs="Times New Roman"/>
          <w:sz w:val="32"/>
          <w:szCs w:val="40"/>
          <w:lang w:eastAsia="zh-CN"/>
        </w:rPr>
        <w:t>）</w:t>
      </w:r>
    </w:p>
    <w:p w14:paraId="7DEE4503">
      <w:pPr>
        <w:numPr>
          <w:ilvl w:val="0"/>
          <w:numId w:val="0"/>
        </w:numPr>
        <w:ind w:firstLine="640" w:firstLineChars="200"/>
        <w:jc w:val="left"/>
        <w:rPr>
          <w:rFonts w:hint="eastAsia"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rPr>
        <w:t>（四）加强宣传引导‥‥‥‥‥‥‥‥‥‥‥‥‥</w:t>
      </w:r>
      <w:r>
        <w:rPr>
          <w:rFonts w:hint="eastAsia" w:ascii="Times New Roman" w:hAnsi="Times New Roman" w:eastAsia="方正楷体_GBK" w:cs="Times New Roman"/>
          <w:sz w:val="32"/>
          <w:szCs w:val="40"/>
          <w:lang w:eastAsia="zh-CN"/>
        </w:rPr>
        <w:t>（</w:t>
      </w:r>
      <w:r>
        <w:rPr>
          <w:rFonts w:hint="eastAsia" w:ascii="Times New Roman" w:hAnsi="Times New Roman" w:eastAsia="方正楷体_GBK" w:cs="Times New Roman"/>
          <w:sz w:val="32"/>
          <w:szCs w:val="40"/>
          <w:lang w:val="en-US" w:eastAsia="zh-CN"/>
        </w:rPr>
        <w:t>17</w:t>
      </w:r>
      <w:r>
        <w:rPr>
          <w:rFonts w:hint="eastAsia" w:ascii="Times New Roman" w:hAnsi="Times New Roman" w:eastAsia="方正楷体_GBK" w:cs="Times New Roman"/>
          <w:sz w:val="32"/>
          <w:szCs w:val="40"/>
          <w:lang w:eastAsia="zh-CN"/>
        </w:rPr>
        <w:t>）</w:t>
      </w:r>
    </w:p>
    <w:p w14:paraId="0CE521EC">
      <w:pPr>
        <w:ind w:firstLine="640" w:firstLineChars="200"/>
        <w:jc w:val="left"/>
        <w:rPr>
          <w:rFonts w:hint="default" w:ascii="Times New Roman" w:hAnsi="Times New Roman" w:eastAsia="方正楷体_GBK" w:cs="Times New Roman"/>
          <w:sz w:val="32"/>
          <w:szCs w:val="40"/>
        </w:rPr>
      </w:pPr>
    </w:p>
    <w:p w14:paraId="15F1FAF5">
      <w:pPr>
        <w:ind w:firstLine="640" w:firstLineChars="200"/>
        <w:jc w:val="left"/>
        <w:rPr>
          <w:rFonts w:hint="default" w:ascii="Times New Roman" w:hAnsi="Times New Roman" w:eastAsia="方正楷体_GBK" w:cs="Times New Roman"/>
          <w:sz w:val="32"/>
          <w:szCs w:val="40"/>
        </w:rPr>
      </w:pPr>
    </w:p>
    <w:p w14:paraId="1FC6F005">
      <w:pPr>
        <w:ind w:firstLine="640" w:firstLineChars="200"/>
        <w:jc w:val="left"/>
        <w:rPr>
          <w:rFonts w:hint="default" w:ascii="Times New Roman" w:hAnsi="Times New Roman" w:eastAsia="方正楷体_GBK" w:cs="Times New Roman"/>
          <w:sz w:val="32"/>
          <w:szCs w:val="40"/>
        </w:rPr>
      </w:pPr>
    </w:p>
    <w:p w14:paraId="075F2764">
      <w:pPr>
        <w:ind w:firstLine="640" w:firstLineChars="200"/>
        <w:jc w:val="left"/>
        <w:rPr>
          <w:rFonts w:hint="default" w:ascii="Times New Roman" w:hAnsi="Times New Roman" w:eastAsia="方正楷体_GBK" w:cs="Times New Roman"/>
          <w:sz w:val="32"/>
          <w:szCs w:val="40"/>
        </w:rPr>
      </w:pPr>
    </w:p>
    <w:p w14:paraId="4CD6BFF7">
      <w:pPr>
        <w:ind w:firstLine="640" w:firstLineChars="200"/>
        <w:jc w:val="left"/>
        <w:rPr>
          <w:rFonts w:hint="default" w:ascii="Times New Roman" w:hAnsi="Times New Roman" w:eastAsia="方正楷体_GBK" w:cs="Times New Roman"/>
          <w:sz w:val="32"/>
          <w:szCs w:val="40"/>
        </w:rPr>
      </w:pPr>
    </w:p>
    <w:p w14:paraId="186F43BA">
      <w:pPr>
        <w:ind w:firstLine="640" w:firstLineChars="200"/>
        <w:jc w:val="left"/>
        <w:rPr>
          <w:rFonts w:hint="default" w:ascii="Times New Roman" w:hAnsi="Times New Roman" w:eastAsia="方正楷体_GBK" w:cs="Times New Roman"/>
          <w:sz w:val="32"/>
          <w:szCs w:val="40"/>
        </w:rPr>
      </w:pPr>
    </w:p>
    <w:p w14:paraId="7B82CA1C">
      <w:pPr>
        <w:ind w:firstLine="640" w:firstLineChars="200"/>
        <w:jc w:val="left"/>
        <w:rPr>
          <w:rFonts w:hint="default" w:ascii="Times New Roman" w:hAnsi="Times New Roman" w:eastAsia="方正楷体_GBK" w:cs="Times New Roman"/>
          <w:sz w:val="32"/>
          <w:szCs w:val="40"/>
        </w:rPr>
      </w:pPr>
    </w:p>
    <w:p w14:paraId="0CA8F7E6">
      <w:pPr>
        <w:ind w:firstLine="640" w:firstLineChars="200"/>
        <w:jc w:val="left"/>
        <w:rPr>
          <w:rFonts w:hint="default" w:ascii="Times New Roman" w:hAnsi="Times New Roman" w:eastAsia="方正楷体_GBK" w:cs="Times New Roman"/>
          <w:sz w:val="32"/>
          <w:szCs w:val="40"/>
        </w:rPr>
      </w:pPr>
    </w:p>
    <w:p w14:paraId="4869D6AA">
      <w:pPr>
        <w:ind w:firstLine="640" w:firstLineChars="200"/>
        <w:jc w:val="left"/>
        <w:rPr>
          <w:rFonts w:hint="default" w:ascii="Times New Roman" w:hAnsi="Times New Roman" w:eastAsia="方正楷体_GBK" w:cs="Times New Roman"/>
          <w:sz w:val="32"/>
          <w:szCs w:val="40"/>
        </w:rPr>
      </w:pPr>
    </w:p>
    <w:p w14:paraId="6A334A37">
      <w:pPr>
        <w:ind w:firstLine="640" w:firstLineChars="200"/>
        <w:jc w:val="left"/>
        <w:rPr>
          <w:rFonts w:hint="default" w:ascii="Times New Roman" w:hAnsi="Times New Roman" w:eastAsia="方正楷体_GBK" w:cs="Times New Roman"/>
          <w:sz w:val="32"/>
          <w:szCs w:val="40"/>
        </w:rPr>
      </w:pPr>
    </w:p>
    <w:p w14:paraId="7F3D25F7">
      <w:pPr>
        <w:ind w:firstLine="640" w:firstLineChars="200"/>
        <w:jc w:val="left"/>
        <w:rPr>
          <w:rFonts w:hint="default" w:ascii="Times New Roman" w:hAnsi="Times New Roman" w:eastAsia="方正楷体_GBK" w:cs="Times New Roman"/>
          <w:sz w:val="32"/>
          <w:szCs w:val="40"/>
        </w:rPr>
      </w:pPr>
    </w:p>
    <w:p w14:paraId="795AC3F4">
      <w:pPr>
        <w:jc w:val="left"/>
        <w:rPr>
          <w:rFonts w:hint="default" w:ascii="Times New Roman" w:hAnsi="Times New Roman" w:eastAsia="方正楷体_GBK" w:cs="Times New Roman"/>
          <w:sz w:val="32"/>
          <w:szCs w:val="40"/>
        </w:rPr>
      </w:pPr>
    </w:p>
    <w:p w14:paraId="6D2923FE">
      <w:pPr>
        <w:ind w:firstLine="640" w:firstLineChars="200"/>
        <w:jc w:val="left"/>
        <w:rPr>
          <w:rFonts w:hint="default" w:ascii="Times New Roman" w:hAnsi="Times New Roman" w:eastAsia="方正楷体_GBK" w:cs="Times New Roman"/>
          <w:sz w:val="32"/>
          <w:szCs w:val="40"/>
        </w:rPr>
      </w:pPr>
    </w:p>
    <w:p w14:paraId="6DE1307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黑体_GBK" w:cs="Times New Roman"/>
          <w:sz w:val="32"/>
          <w:szCs w:val="40"/>
        </w:rPr>
        <w:sectPr>
          <w:pgSz w:w="11906" w:h="16838"/>
          <w:pgMar w:top="1440" w:right="1800" w:bottom="1440" w:left="1800" w:header="851" w:footer="992" w:gutter="0"/>
          <w:cols w:space="720" w:num="1"/>
          <w:docGrid w:type="lines" w:linePitch="312" w:charSpace="0"/>
        </w:sectPr>
      </w:pPr>
    </w:p>
    <w:p w14:paraId="17E72AD0">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楷体_GBK" w:cs="Times New Roman"/>
          <w:sz w:val="32"/>
          <w:szCs w:val="40"/>
          <w:lang w:eastAsia="zh-CN"/>
        </w:rPr>
      </w:pPr>
      <w:r>
        <w:rPr>
          <w:rFonts w:hint="default" w:ascii="Times New Roman" w:hAnsi="Times New Roman" w:eastAsia="方正黑体_GBK" w:cs="Times New Roman"/>
          <w:sz w:val="32"/>
          <w:szCs w:val="40"/>
        </w:rPr>
        <w:t>一、预制菜产业发展现状</w:t>
      </w:r>
    </w:p>
    <w:p w14:paraId="2B63F7F9">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楷体_GBK" w:cs="Times New Roman"/>
          <w:sz w:val="32"/>
          <w:szCs w:val="40"/>
        </w:rPr>
      </w:pPr>
      <w:r>
        <w:rPr>
          <w:rFonts w:hint="default" w:ascii="Times New Roman" w:hAnsi="Times New Roman" w:eastAsia="方正楷体_GBK" w:cs="Times New Roman"/>
          <w:sz w:val="32"/>
          <w:szCs w:val="40"/>
        </w:rPr>
        <w:t>（一）国外预制菜产业现状</w:t>
      </w:r>
    </w:p>
    <w:p w14:paraId="595B0841">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rPr>
        <w:t>预制菜由净菜发展而来。20世纪60年代，净菜在美国实现商业化经营，通过供应餐饮行业，降低了人工费、水电费和垃圾处理费，减少了厨房面积和设备采购。同时，部分净菜企业也面向家庭、个人零售，方便了居民日常烹饪。80年代，净菜加工配送在日本、加拿大及部分欧洲国家兴起。目前预制菜国外市场已非常成熟，2020年美国预制菜市场规模454亿美元，日本预制菜市场规模为238.5亿美元，行业渗透率60%以上，培育了诸如康尼格拉、泰森、日冷、神户物产等在全球极具影响力的大型预制菜企业。</w:t>
      </w:r>
    </w:p>
    <w:p w14:paraId="29AB4AD4">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rPr>
        <w:t>（二）中国预制菜产业现状</w:t>
      </w:r>
    </w:p>
    <w:p w14:paraId="6A78E9A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r>
        <w:rPr>
          <w:rFonts w:hint="default" w:ascii="Times New Roman" w:hAnsi="Times New Roman" w:eastAsia="方正仿宋_GBK" w:cs="Times New Roman"/>
          <w:sz w:val="32"/>
          <w:szCs w:val="40"/>
        </w:rPr>
        <w:t>国内预制菜市场起步较晚，2000年深加工的半成品菜企业开始涌现，2011-2020年，预制菜相关企业注册数量呈上升趋势，自2015年起行业进入快速发展期，行业企业首次突破4000家，2018年突破8000家。2020年受疫情影响,家庭预制菜消费量出现井喷，新注册1.25万家企业，同比增长9%，行业规模增长9.64%,达到2422亿元。</w:t>
      </w:r>
    </w:p>
    <w:p w14:paraId="46AD3DA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01FED2DC">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5F08E520">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6890A13E">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rPr>
      </w:pPr>
      <w:r>
        <w:rPr>
          <w:rFonts w:hint="default" w:ascii="Times New Roman" w:hAnsi="Times New Roman" w:eastAsia="方正仿宋_GBK" w:cs="Times New Roman"/>
          <w:sz w:val="32"/>
          <w:szCs w:val="40"/>
        </w:rPr>
        <w:drawing>
          <wp:anchor distT="0" distB="0" distL="114300" distR="114300" simplePos="0" relativeHeight="251663360" behindDoc="1" locked="0" layoutInCell="1" allowOverlap="1">
            <wp:simplePos x="0" y="0"/>
            <wp:positionH relativeFrom="column">
              <wp:posOffset>0</wp:posOffset>
            </wp:positionH>
            <wp:positionV relativeFrom="paragraph">
              <wp:posOffset>66040</wp:posOffset>
            </wp:positionV>
            <wp:extent cx="5274310" cy="3152775"/>
            <wp:effectExtent l="0" t="0" r="13970" b="1905"/>
            <wp:wrapNone/>
            <wp:docPr id="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
                    <pic:cNvPicPr>
                      <a:picLocks noChangeAspect="1"/>
                    </pic:cNvPicPr>
                  </pic:nvPicPr>
                  <pic:blipFill>
                    <a:blip r:embed="rId4"/>
                    <a:stretch>
                      <a:fillRect/>
                    </a:stretch>
                  </pic:blipFill>
                  <pic:spPr>
                    <a:xfrm>
                      <a:off x="0" y="0"/>
                      <a:ext cx="5274310" cy="3152775"/>
                    </a:xfrm>
                    <a:prstGeom prst="rect">
                      <a:avLst/>
                    </a:prstGeom>
                    <a:noFill/>
                    <a:ln>
                      <a:noFill/>
                    </a:ln>
                  </pic:spPr>
                </pic:pic>
              </a:graphicData>
            </a:graphic>
          </wp:anchor>
        </w:drawing>
      </w:r>
    </w:p>
    <w:p w14:paraId="0CF1E402">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rPr>
      </w:pPr>
    </w:p>
    <w:p w14:paraId="0FEED2CA">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rPr>
      </w:pPr>
    </w:p>
    <w:p w14:paraId="4B551085">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rPr>
      </w:pPr>
    </w:p>
    <w:p w14:paraId="06681C28">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rPr>
      </w:pPr>
    </w:p>
    <w:p w14:paraId="28CC10F5">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rPr>
      </w:pPr>
    </w:p>
    <w:p w14:paraId="74ED1641">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rPr>
      </w:pPr>
    </w:p>
    <w:p w14:paraId="1DCEE243">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rPr>
      </w:pPr>
    </w:p>
    <w:p w14:paraId="48913AF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rPr>
        <w:t>到2021年我国预制菜行业市场规模约为3640亿元，预制菜企业7.2万家，连锁餐饮领域有眉州东坡、杏花楼、新雅粤菜馆、湘鄂情、海底捞等；食品加工制造领域有三全、正大以及安井等品牌；新零售领域有盒马鲜生、叮咚买菜、美团买菜、每日优鲜；还有部分主营业务为预制菜的企业，如味知香、新聪厨、好得睐、惠康食品、佳宴食品等。</w:t>
      </w:r>
    </w:p>
    <w:p w14:paraId="58A6ECC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rPr>
        <w:t>1.预制菜购买目的</w:t>
      </w:r>
    </w:p>
    <w:p w14:paraId="121B9E9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r>
        <w:rPr>
          <w:rFonts w:hint="default" w:ascii="Times New Roman" w:hAnsi="Times New Roman" w:eastAsia="方正仿宋_GBK" w:cs="Times New Roman"/>
          <w:sz w:val="32"/>
          <w:szCs w:val="40"/>
        </w:rPr>
        <w:t>数据显示，节省时间是消费者购买预制菜的主要目的，占71.9%，其次是美味和不喜欢做饭，占比分别为36.9%、30.4%。</w:t>
      </w:r>
    </w:p>
    <w:p w14:paraId="1A798780">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4A5FAE9D">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24D11601">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43AEBFC2">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r>
        <w:rPr>
          <w:rFonts w:hint="default" w:ascii="Times New Roman" w:hAnsi="Times New Roman" w:eastAsia="方正仿宋_GBK" w:cs="Times New Roman"/>
          <w:sz w:val="32"/>
          <w:szCs w:val="40"/>
          <w:lang w:eastAsia="zh-CN"/>
        </w:rPr>
        <w:drawing>
          <wp:anchor distT="0" distB="0" distL="114300" distR="114300" simplePos="0" relativeHeight="251664384" behindDoc="1" locked="0" layoutInCell="1" allowOverlap="1">
            <wp:simplePos x="0" y="0"/>
            <wp:positionH relativeFrom="column">
              <wp:posOffset>406400</wp:posOffset>
            </wp:positionH>
            <wp:positionV relativeFrom="paragraph">
              <wp:posOffset>111760</wp:posOffset>
            </wp:positionV>
            <wp:extent cx="4389120" cy="2491740"/>
            <wp:effectExtent l="0" t="0" r="0" b="7620"/>
            <wp:wrapNone/>
            <wp:docPr id="6"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
                    <pic:cNvPicPr>
                      <a:picLocks noChangeAspect="1"/>
                    </pic:cNvPicPr>
                  </pic:nvPicPr>
                  <pic:blipFill>
                    <a:blip r:embed="rId5"/>
                    <a:stretch>
                      <a:fillRect/>
                    </a:stretch>
                  </pic:blipFill>
                  <pic:spPr>
                    <a:xfrm>
                      <a:off x="0" y="0"/>
                      <a:ext cx="4389120" cy="2491740"/>
                    </a:xfrm>
                    <a:prstGeom prst="rect">
                      <a:avLst/>
                    </a:prstGeom>
                    <a:noFill/>
                    <a:ln>
                      <a:noFill/>
                    </a:ln>
                  </pic:spPr>
                </pic:pic>
              </a:graphicData>
            </a:graphic>
          </wp:anchor>
        </w:drawing>
      </w:r>
    </w:p>
    <w:p w14:paraId="2CD71E96">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79931AF9">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646D4493">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57095A64">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5E34EC56">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rPr>
      </w:pPr>
    </w:p>
    <w:p w14:paraId="4CF0ED80">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K" w:cs="Times New Roman"/>
          <w:sz w:val="32"/>
          <w:szCs w:val="40"/>
          <w:lang w:eastAsia="zh-CN"/>
        </w:rPr>
      </w:pPr>
    </w:p>
    <w:p w14:paraId="00897F13">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2.预制菜消费市场</w:t>
      </w:r>
    </w:p>
    <w:p w14:paraId="06292716">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drawing>
          <wp:anchor distT="0" distB="0" distL="114300" distR="114300" simplePos="0" relativeHeight="251665408" behindDoc="1" locked="0" layoutInCell="1" allowOverlap="1">
            <wp:simplePos x="0" y="0"/>
            <wp:positionH relativeFrom="column">
              <wp:posOffset>381000</wp:posOffset>
            </wp:positionH>
            <wp:positionV relativeFrom="paragraph">
              <wp:posOffset>1800860</wp:posOffset>
            </wp:positionV>
            <wp:extent cx="4389120" cy="2491740"/>
            <wp:effectExtent l="0" t="0" r="0" b="7620"/>
            <wp:wrapNone/>
            <wp:docPr id="7"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3"/>
                    <pic:cNvPicPr>
                      <a:picLocks noChangeAspect="1"/>
                    </pic:cNvPicPr>
                  </pic:nvPicPr>
                  <pic:blipFill>
                    <a:blip r:embed="rId6"/>
                    <a:stretch>
                      <a:fillRect/>
                    </a:stretch>
                  </pic:blipFill>
                  <pic:spPr>
                    <a:xfrm>
                      <a:off x="0" y="0"/>
                      <a:ext cx="4389120" cy="2491740"/>
                    </a:xfrm>
                    <a:prstGeom prst="rect">
                      <a:avLst/>
                    </a:prstGeom>
                    <a:noFill/>
                    <a:ln>
                      <a:noFill/>
                    </a:ln>
                  </pic:spPr>
                </pic:pic>
              </a:graphicData>
            </a:graphic>
          </wp:anchor>
        </w:drawing>
      </w:r>
      <w:r>
        <w:rPr>
          <w:rFonts w:hint="default" w:ascii="Times New Roman" w:hAnsi="Times New Roman" w:eastAsia="方正仿宋_GBK" w:cs="Times New Roman"/>
          <w:sz w:val="32"/>
          <w:szCs w:val="40"/>
          <w:lang w:eastAsia="zh-CN"/>
        </w:rPr>
        <w:t>目前，预制菜的消费市场主要集中于一二线城市。数据显示，45.7%的预制菜消费者分布于一线城市，19.8%的消费者分布于二线城市，16.4%的消费者分布于三线城市，其余消费者分布在四、五线城市。</w:t>
      </w:r>
    </w:p>
    <w:p w14:paraId="393FB8E1">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46225F92">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277D2EFA">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33A13F1C">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453716D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0574AC7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580E1984">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38B7A839">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3.预制菜产业指数</w:t>
      </w:r>
    </w:p>
    <w:p w14:paraId="61381A1C">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依据宏观经济、消费水平、预制菜企业数量与规模、网民关注度以及政策扶持力度等维度，NCBD发布了《2021中国预制菜产业指数省份排行榜》。榜单显示，我国预制菜产业指数排名前十的省份分别为广东、山东、福建、江苏、河南、河北、辽宁、浙江、安徽以及四川。广东以79.24的产业指数，位居榜首。</w:t>
      </w:r>
    </w:p>
    <w:p w14:paraId="4E8148B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drawing>
          <wp:anchor distT="0" distB="0" distL="114300" distR="114300" simplePos="0" relativeHeight="251666432" behindDoc="1" locked="0" layoutInCell="1" allowOverlap="1">
            <wp:simplePos x="0" y="0"/>
            <wp:positionH relativeFrom="column">
              <wp:posOffset>320675</wp:posOffset>
            </wp:positionH>
            <wp:positionV relativeFrom="paragraph">
              <wp:posOffset>125095</wp:posOffset>
            </wp:positionV>
            <wp:extent cx="4589145" cy="2605405"/>
            <wp:effectExtent l="0" t="0" r="13335" b="635"/>
            <wp:wrapNone/>
            <wp:docPr id="8"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4"/>
                    <pic:cNvPicPr>
                      <a:picLocks noChangeAspect="1"/>
                    </pic:cNvPicPr>
                  </pic:nvPicPr>
                  <pic:blipFill>
                    <a:blip r:embed="rId7"/>
                    <a:stretch>
                      <a:fillRect/>
                    </a:stretch>
                  </pic:blipFill>
                  <pic:spPr>
                    <a:xfrm>
                      <a:off x="0" y="0"/>
                      <a:ext cx="4589145" cy="2605405"/>
                    </a:xfrm>
                    <a:prstGeom prst="rect">
                      <a:avLst/>
                    </a:prstGeom>
                    <a:noFill/>
                    <a:ln>
                      <a:noFill/>
                    </a:ln>
                  </pic:spPr>
                </pic:pic>
              </a:graphicData>
            </a:graphic>
          </wp:anchor>
        </w:drawing>
      </w:r>
    </w:p>
    <w:p w14:paraId="1EF136AC">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28D67AAA">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00F0DCE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21427F4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53839E39">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1BBC8E63">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5DE398B6">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lang w:eastAsia="zh-CN"/>
        </w:rPr>
        <w:t>（三）包头市预制菜产业现状</w:t>
      </w:r>
    </w:p>
    <w:p w14:paraId="382780B2">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2021年我市耕地面积645万亩，种植面积470万亩，粮食总产量125万吨，肉类总产量18.22万吨，规模养殖场2452个，农牧民专业合作社2040个，市级以上农牧业产业化龙头企业215家，其中国家级、自治区级分别为5家、39家，农畜产品加工转化率达76%。拥有3个食品加工园区、5个现代农牧业产业园区。餐饮企业393家，从业人员8422人，营业收入28亿元，规模以上预制菜企业17家，有资质中央厨房企业7家、集团配餐企业6家。初步形成了“食品生产企业+冷链配送+商超”“农牧基地+中央厨房+冷链配送+餐饮门店”“农牧基地+集体配餐+冷链配送+学校企事业单位”3种商业模式。</w:t>
      </w:r>
    </w:p>
    <w:p w14:paraId="4C88E9D1">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包头市目前形成以草原立新的卤肉制品、九悦餐饮的六大碗熟食、马家私房面的六大碗熟食、不老神鸡的卤肉制品、草原王傻子的卤肉制品、绝味的卤肉制品、巴盟人家成品菜系、荣华面食品为主的即食食品；以九悦餐饮的预包装速食菜品、马家私房面的预包装速食菜品、龙沣预包装速食食品为主的即热食品；以小尾羊羊杂制品、龙沣有料火锅系列、西贝速食半成品、九悦餐饮半成品菜系、马家私房面半成品菜系、内蒙古瑞膳半成品菜系、宝利来半成品菜系为主的即烹食品；以舌尖管家净菜菜系、天盛膳食净菜菜系、乐禾净菜系列为主的即配食品。包头市先后获得中国羊肉美食之都、全国产粮大县、农业科技示范园、草原牛羊肉、黄河大鲤鱼等国家级荣誉称号，年产值近10亿元。我市预制菜产业发展初具规模，正处于快速发展阶段。</w:t>
      </w:r>
    </w:p>
    <w:p w14:paraId="5297B2D1">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黑体_GBK" w:cs="Times New Roman"/>
          <w:sz w:val="32"/>
          <w:szCs w:val="40"/>
          <w:lang w:eastAsia="zh-CN"/>
        </w:rPr>
      </w:pPr>
      <w:r>
        <w:rPr>
          <w:rFonts w:hint="default" w:ascii="Times New Roman" w:hAnsi="Times New Roman" w:eastAsia="方正黑体_GBK" w:cs="Times New Roman"/>
          <w:sz w:val="32"/>
          <w:szCs w:val="40"/>
          <w:lang w:eastAsia="zh-CN"/>
        </w:rPr>
        <w:t>二、包头市预制菜产业发展优势</w:t>
      </w:r>
    </w:p>
    <w:p w14:paraId="4D03F7D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（一）自然条件优越。</w:t>
      </w:r>
      <w:r>
        <w:rPr>
          <w:rFonts w:hint="default" w:ascii="Times New Roman" w:hAnsi="Times New Roman" w:eastAsia="方正仿宋_GBK" w:cs="Times New Roman"/>
          <w:sz w:val="32"/>
          <w:szCs w:val="40"/>
          <w:lang w:eastAsia="zh-CN"/>
        </w:rPr>
        <w:t>包头市地处北纬41°，位于黄河冲积扇平原，属于半干旱中温带大陆性季风气候，日照时间长、昼夜温差大、病虫害少，对绿色农作物生长极为有利。土壤类型以灰褐土和栗钙土为主。独特的地理气候条件、多样的高原生态环境、重要而特殊的生态位置，为打造我市绿色有机预制菜提供了得天独厚的自然条件。</w:t>
      </w:r>
    </w:p>
    <w:p w14:paraId="141D883F">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（二）农牧业资源丰富。</w:t>
      </w:r>
      <w:r>
        <w:rPr>
          <w:rFonts w:hint="default" w:ascii="Times New Roman" w:hAnsi="Times New Roman" w:eastAsia="方正仿宋_GBK" w:cs="Times New Roman"/>
          <w:sz w:val="32"/>
          <w:szCs w:val="40"/>
          <w:lang w:eastAsia="zh-CN"/>
        </w:rPr>
        <w:t>2021年，我市粮食产量25亿斤、主产玉米、大豆、马铃薯、杂粮、北黄芪；牲畜存栏量473万头只，出栏量653.3万头只。其中肉牛存栏量15.6万头，出栏量10.8万头；肉羊存栏量404万只，出栏量586万只；生猪存栏量35.3万头，出栏55.5万头；奶牛存栏量10.9万头。蛋鸡存栏480万羽、肉鸡存栏11.3万羽。从养殖主体来看，全市共有备案肉牛、肉羊、生猪奶牛、蛋鸡规模养殖场2452个，其中大型规模场501个、中小型规模场1951个、农牧民养殖户9.7万余户。</w:t>
      </w:r>
    </w:p>
    <w:p w14:paraId="545E0C26">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（三）产业基础扎实。</w:t>
      </w:r>
      <w:r>
        <w:rPr>
          <w:rFonts w:hint="default" w:ascii="Times New Roman" w:hAnsi="Times New Roman" w:eastAsia="方正仿宋_GBK" w:cs="Times New Roman"/>
          <w:sz w:val="32"/>
          <w:szCs w:val="40"/>
          <w:lang w:eastAsia="zh-CN"/>
        </w:rPr>
        <w:t>2021年，全市拥有市级以上农牧业产业化龙头企业215家，其中，国家级龙头企业5家，占自治区的8.8%；自治区级39家，占自治区的5.8%。全市亿元以上农牧业企业20家，占全市食品加工企业的16.6%，全市规模以上农产品加工企业加工产值157.3亿元，其中预制菜产业初具规模，小尾羊、西贝餐饮、马家私房面、九悦餐饮、龙沣食品等预制菜企业实现了统一标准、降低成本、方便管理、规模化经营，开发了面食、肉类、果蔬、酱菜、热料、速食菜系等多个预制菜品种。引进青岛巴龙集团企业开展预制菜冷链仓储物流服务，初步形成了从预制菜原材料到中央厨房、冷链配送、市场终端全链条产业体系。</w:t>
      </w:r>
    </w:p>
    <w:p w14:paraId="626B5C5F">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（四）品牌优势明显。</w:t>
      </w:r>
      <w:r>
        <w:rPr>
          <w:rFonts w:hint="default" w:ascii="Times New Roman" w:hAnsi="Times New Roman" w:eastAsia="方正仿宋_GBK" w:cs="Times New Roman"/>
          <w:sz w:val="32"/>
          <w:szCs w:val="40"/>
          <w:lang w:eastAsia="zh-CN"/>
        </w:rPr>
        <w:t>包头市是全国烹饪协会授予的“中国羊肉美食之都”，先后获得草原牛羊肉、黄河大鲤鱼、全国产粮大县、农业科技示范园等国家级荣誉称号。打造了自治区级区域公用品牌“固阳黄芪”，小尾羊、铁木真、鹿王入选了自治区农牧业品牌目录。</w:t>
      </w:r>
    </w:p>
    <w:p w14:paraId="3F36786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（五）市场空间广阔。</w:t>
      </w:r>
      <w:r>
        <w:rPr>
          <w:rFonts w:hint="default" w:ascii="Times New Roman" w:hAnsi="Times New Roman" w:eastAsia="方正仿宋_GBK" w:cs="Times New Roman"/>
          <w:sz w:val="32"/>
          <w:szCs w:val="40"/>
          <w:lang w:eastAsia="zh-CN"/>
        </w:rPr>
        <w:t>根据研究机构预测，全国预制菜市场规模达万亿级，为培育发展预制菜提供了广阔市场空间。包头市目前预制菜市场规模已近15亿，在团餐、酒店、商超等方面发展空间广、潜力大。</w:t>
      </w:r>
    </w:p>
    <w:p w14:paraId="31240400">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黑体_GBK" w:cs="Times New Roman"/>
          <w:sz w:val="32"/>
          <w:szCs w:val="40"/>
          <w:lang w:eastAsia="zh-CN"/>
        </w:rPr>
      </w:pPr>
      <w:r>
        <w:rPr>
          <w:rFonts w:hint="default" w:ascii="Times New Roman" w:hAnsi="Times New Roman" w:eastAsia="方正黑体_GBK" w:cs="Times New Roman"/>
          <w:sz w:val="32"/>
          <w:szCs w:val="40"/>
          <w:lang w:eastAsia="zh-CN"/>
        </w:rPr>
        <w:t>三、发展思路和目标</w:t>
      </w:r>
    </w:p>
    <w:p w14:paraId="70D457A6">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lang w:eastAsia="zh-CN"/>
        </w:rPr>
        <w:t>（一）指导思想</w:t>
      </w:r>
    </w:p>
    <w:p w14:paraId="49AB216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以习近平新时代中国特色社会主义思想为指导，认真贯彻党的十九大和十九届历次全会精神，全面落实习近平总书记对内蒙古重要讲话重要指示批示精神和自治区党委、政府的工作要求，立足新发展阶段，完整准确全面贯彻新发展理念、服务和融入新发展格局，发挥黄河流域农业资源优势和现有预制菜产业基础，着力推进预制菜产业布局，发展肉类、马铃薯、大豆、杂粮、北黄芪、玉米六大系列产品及其产业链，大力实施品牌战略，推动预制菜产业走在全国前列，建成以羊肉为主的预制菜美食之都。</w:t>
      </w:r>
    </w:p>
    <w:p w14:paraId="21B9C1E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楷体_GBK" w:cs="Times New Roman"/>
          <w:sz w:val="32"/>
          <w:szCs w:val="40"/>
          <w:lang w:eastAsia="zh-CN"/>
        </w:rPr>
      </w:pPr>
      <w:r>
        <w:rPr>
          <w:rFonts w:hint="default" w:ascii="Times New Roman" w:hAnsi="Times New Roman" w:eastAsia="方正楷体_GBK" w:cs="Times New Roman"/>
          <w:sz w:val="32"/>
          <w:szCs w:val="40"/>
          <w:lang w:eastAsia="zh-CN"/>
        </w:rPr>
        <w:t>（二）发展目标</w:t>
      </w:r>
    </w:p>
    <w:p w14:paraId="1FD74683">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到2022年末，培育晋升自治区级预制菜龙头企业1家；建成包头市预制菜产业发展基地1个，打造预制菜示范引领企业3家，引进龙头企业5家，构建预制菜质量安全监管规范体系，推进预制菜产业快速发展，预制菜产业产值达15亿元。</w:t>
      </w:r>
    </w:p>
    <w:p w14:paraId="419178D7">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到2023年末，培育晋升国家级预制菜龙头企业2家，自治区级预制菜龙头企业3家；建成包头市预制菜产业发展基地2个，打造预制菜示范引领企业20家，引进龙头企业10家；建成预制菜研发平台4个，培养预制菜产业专业人才，增加预制菜产品品相，搭建预制菜交易平台，拓宽预制菜营销渠道，提高产品价值，预制菜产业产值达50亿元。</w:t>
      </w:r>
    </w:p>
    <w:p w14:paraId="7A500E0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到2024年末，培育晋升国家级预制菜龙头企业5家，自治区级预制菜龙头企业10家；建成包头市预制菜产业发展基地3个，打造预制菜示范引领企业30家，培育引进预制菜产业龙头企业50家，上下游相关企业达200家以上。建成预制菜研发平台10个，培育一批专业预制菜产业人才，预制菜产业产值达100亿元以上。</w:t>
      </w:r>
    </w:p>
    <w:p w14:paraId="7FB031D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黑体_GBK" w:cs="Times New Roman"/>
          <w:sz w:val="32"/>
          <w:szCs w:val="40"/>
          <w:lang w:eastAsia="zh-CN"/>
        </w:rPr>
      </w:pPr>
      <w:r>
        <w:rPr>
          <w:rFonts w:hint="default" w:ascii="Times New Roman" w:hAnsi="Times New Roman" w:eastAsia="方正黑体_GBK" w:cs="Times New Roman"/>
          <w:sz w:val="32"/>
          <w:szCs w:val="40"/>
          <w:lang w:eastAsia="zh-CN"/>
        </w:rPr>
        <w:t>四、产业布局</w:t>
      </w:r>
    </w:p>
    <w:p w14:paraId="25A811E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认真落实自治区“两个屏障”“两个基地”“一个桥头堡”的战略定位，围绕包头市建设全国有重要影响力的农畜产品加工产业基地，发挥黄河流域农业资源优势，努力建设“一中心、多组团”的预制菜产业布局。</w:t>
      </w:r>
    </w:p>
    <w:p w14:paraId="46FAAFB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“一中心”是指以九原区绿色食品园区为中心，发挥该园区已形成的土地、产业、政策优势，建设全市预制菜产业核心基地。</w:t>
      </w:r>
    </w:p>
    <w:p w14:paraId="769AD78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drawing>
          <wp:anchor distT="0" distB="0" distL="114300" distR="114300" simplePos="0" relativeHeight="251667456" behindDoc="1" locked="0" layoutInCell="1" allowOverlap="1">
            <wp:simplePos x="0" y="0"/>
            <wp:positionH relativeFrom="column">
              <wp:posOffset>444500</wp:posOffset>
            </wp:positionH>
            <wp:positionV relativeFrom="paragraph">
              <wp:posOffset>1602740</wp:posOffset>
            </wp:positionV>
            <wp:extent cx="4601210" cy="5287010"/>
            <wp:effectExtent l="0" t="0" r="1270" b="1270"/>
            <wp:wrapNone/>
            <wp:docPr id="9"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5"/>
                    <pic:cNvPicPr>
                      <a:picLocks noChangeAspect="1"/>
                    </pic:cNvPicPr>
                  </pic:nvPicPr>
                  <pic:blipFill>
                    <a:blip r:embed="rId8"/>
                    <a:stretch>
                      <a:fillRect/>
                    </a:stretch>
                  </pic:blipFill>
                  <pic:spPr>
                    <a:xfrm>
                      <a:off x="0" y="0"/>
                      <a:ext cx="4601210" cy="5287010"/>
                    </a:xfrm>
                    <a:prstGeom prst="rect">
                      <a:avLst/>
                    </a:prstGeom>
                    <a:noFill/>
                    <a:ln>
                      <a:noFill/>
                    </a:ln>
                  </pic:spPr>
                </pic:pic>
              </a:graphicData>
            </a:graphic>
          </wp:anchor>
        </w:drawing>
      </w:r>
      <w:r>
        <w:rPr>
          <w:rFonts w:hint="default" w:ascii="Times New Roman" w:hAnsi="Times New Roman" w:eastAsia="方正仿宋_GBK" w:cs="Times New Roman"/>
          <w:sz w:val="32"/>
          <w:szCs w:val="40"/>
          <w:lang w:eastAsia="zh-CN"/>
        </w:rPr>
        <w:t>“多组团”是指发挥涉农旗县区农牧业占比大、原材料丰富的优势，建设从原材料生产、深加工到冷链物流、终端市场的全产业链，形成各具特色、链条互补、竞相发展的产业布局。</w:t>
      </w:r>
    </w:p>
    <w:p w14:paraId="7F9325C4">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0602286D">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2195D3CD">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73F8A23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0CEB57A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247B38D3">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4AC4D78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470AECE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3E53AF9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3F17C9FA">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765D99AE">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596CDD5A">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3E09DCA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黑体_GBK" w:cs="Times New Roman"/>
          <w:sz w:val="32"/>
          <w:szCs w:val="40"/>
          <w:lang w:eastAsia="zh-CN"/>
        </w:rPr>
      </w:pPr>
      <w:r>
        <w:rPr>
          <w:rFonts w:hint="default" w:ascii="Times New Roman" w:hAnsi="Times New Roman" w:eastAsia="方正黑体_GBK" w:cs="Times New Roman"/>
          <w:sz w:val="32"/>
          <w:szCs w:val="40"/>
          <w:lang w:eastAsia="zh-CN"/>
        </w:rPr>
        <w:t>五、构筑产业链条</w:t>
      </w:r>
    </w:p>
    <w:p w14:paraId="4BADDB9F">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九原区——充分发挥九原区绿色食品园区土地、产业、政策、基础设施完善的优势，在现有转龙酒业、好德亨食品、红云食品、恒福源物流等13家食品加工及配套企业和2家已入驻预制菜企业的基础上，加大招商引资力度，全力打造全市预制菜产业基地，形成蔬菜、肉品、奶业速冻食品、休闲食品等预制菜产品，建设以主食、肉类为主的产业链，2022年产值达6000万元，2023年产值1.5亿元，2024年产值达到2亿元。</w:t>
      </w:r>
    </w:p>
    <w:p w14:paraId="3DFB86AE">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青山区——建设预制菜产业园区，规划面积400亩，主要发展食品深加工、冷链食品物流产业。在园区已入驻投产的豆清源、呱呱叫、乐雨粮油、鹿禾源食品、小丽花等19家企业的基础上，再投资3亿元建设食品加工厂房、冷链物流区、仓储物流区、配套公建区等基础设施，着力引进卓资县张金涛熏鸡食品加工基地、丹妮娅烘焙中央工厂、乐禾食品集团净菜工厂、伊盟人家中央厨房和金迈圆中央厨房等项目，重点发展食品深加工和冷链仓储物流，培育一批具有核心竞争力的食品加工类企业，推动形成食品加工产业集群。2022年产值1.5亿元，2023年产值3亿元，2024年产值5亿元。</w:t>
      </w:r>
    </w:p>
    <w:p w14:paraId="198481B7">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东河区——充分发挥包头市菜篮子基地和区位、资源优势，以包头粮食健康产业园区为载体，大力发展粮食加工、预制菜、净菜等食品加工产业，重点打造以设施农业为主的净菜和黄河大鲤鱼产品。依托蔬菜年产量45万吨的巨大优势，以及东园西红柿、鄂尔格逊韭菜、海岱蒜等优势特色农产品，打造自治区乃至西部地区最大设施蔬菜生产基地，不断延伸蔬菜加工产业链，着力发展净菜加工产业；围绕现有羊蝎子火锅、筋头巴脑等系列产品，大力发展预制菜产业链。2022年预制菜产业产值达到1亿元，2023年产值达到2亿元，2024年产值达到5亿元。</w:t>
      </w:r>
    </w:p>
    <w:p w14:paraId="2CAB5BD7">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石拐区——依托城市共同配送物流园区，建设集加工、包装、仓储、电子商务、现代物流配送于一体的多功能集群式预制菜食品用品产业园。打造冷链物流为主的服务业,重点支持带动性强、品牌附加值高、辐射范围广的预制菜产业项目。围绕牛羊肉、蔬菜预制菜加工，重点引进链主型目标企业开展合作，打造肉制品、海参速食品、饼干、粗粮加工系列产品、形成农副产品加工产业链条。2022年产值达到1.8亿元、2023年产值达到2.1亿元，2024年产值3亿元。</w:t>
      </w:r>
    </w:p>
    <w:p w14:paraId="4043512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土右旗——充分发挥全国产粮大县优势,依托敕勒川绿色食品加工园区，以肉类深加工、蔬菜深加工为园区主导产业，高标准建设集生产加工、冷链配送、中试研发、电商金融于一体的预制菜产业基地。在已入驻内蒙古骑士乳业、敕勒川糖业等11家企业的基础上,重点打造“优良食谷”系列产品，形成玉米、大豆、奶业、肉鸡为主的4条产业链。2022年预制菜产值达3亿元，2023年预制菜产值达5亿元，2024年预制菜产值达10亿元。</w:t>
      </w:r>
    </w:p>
    <w:p w14:paraId="4C675956">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固阳县——充分发挥固阳本土特色的优势，依托自治区级农牧业产业园和电子商务产业园，大力发展精深加工产业，在已建成５４０亩马铃薯产业园的基础上，加快建设以绿色有机高品质黄芪仓储、交易、精深加工为主要内容的黄芪产业园，建设一批基础条件好、生产水平较高的肉羊养殖核心区，建设全区优质种薯供应基地，全县莜麦、荞麦等小杂粮种植面积稳定在40万亩以上，全力打造肉羊、马铃薯、小杂粮、正北黄芪４条产业链。2022年预制菜产值达到0.5亿元，2023年预制菜产值达到1亿元，2024年预制菜产值达到2亿元。</w:t>
      </w:r>
    </w:p>
    <w:p w14:paraId="07C26C82">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达茂旗——充分发挥草原生态优势，依托黄花滩绿色食品园区，在已入驻西蒙太、天宇牧歌等6家企业的基础上，大力发展牛羊肉预制食品和民族特色奶制品，重点规划发展手把肉、羊肉卷、羊腿、羊排、羊骨、羊蝎子、羊棒骨、特色羊蹄筋、血肠、肉肠、红焖肉、烤肉、牛肉干、精品牛排、特色牛尾骨、特色牛尾尖儿等系列产品和达茂奶酪、达茂奶豆腐、达茂奶皮子、达茂奶茶等精品特色奶食系列产品，形成以牛、羊、奶为主的产业链条。2022年产值达1.1亿元，2023年产值达1.6亿元，2024年产值达2.4亿元。</w:t>
      </w:r>
    </w:p>
    <w:p w14:paraId="3BC4B541">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昆区——充分发挥昆区老工业基地加工能力优势，依托包头市友谊食品加工园，培育食品生产加工、仓储、配送能力，在已入驻4家预制菜企业的基础上，在昆北建设水产基地、种植养殖基地、创客中心、集体用餐（预制菜）配送中心和社区养老助餐点。2022年产值达到2亿元，2023年产值达到4亿元，2024年产值6亿元。</w:t>
      </w:r>
    </w:p>
    <w:p w14:paraId="27432CAF">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稀土高新区——充分发挥高新区城乡结合区域优势，支持巴盟人家、明远食品、天盛膳食等现有预制菜加工企业不断发展壮大，打造集中采购、生产加工、检验、统一包装、冷冻储藏、运输、信息处理等功能为一体的预制菜产业链。2022年产值达到4000万，2023年产值达到5000万元，2024年产值达到7000万元。</w:t>
      </w:r>
    </w:p>
    <w:p w14:paraId="73CDCE5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黑体_GBK" w:cs="Times New Roman"/>
          <w:sz w:val="32"/>
          <w:szCs w:val="40"/>
          <w:lang w:eastAsia="zh-CN"/>
        </w:rPr>
      </w:pPr>
      <w:r>
        <w:rPr>
          <w:rFonts w:hint="default" w:ascii="Times New Roman" w:hAnsi="Times New Roman" w:eastAsia="方正黑体_GBK" w:cs="Times New Roman"/>
          <w:sz w:val="32"/>
          <w:szCs w:val="40"/>
          <w:lang w:eastAsia="zh-CN"/>
        </w:rPr>
        <w:t>六、重点任务</w:t>
      </w:r>
    </w:p>
    <w:p w14:paraId="602CF40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（一）加强园区建设。</w:t>
      </w:r>
      <w:r>
        <w:rPr>
          <w:rFonts w:hint="default" w:ascii="Times New Roman" w:hAnsi="Times New Roman" w:eastAsia="方正仿宋_GBK" w:cs="Times New Roman"/>
          <w:sz w:val="32"/>
          <w:szCs w:val="40"/>
          <w:lang w:eastAsia="zh-CN"/>
        </w:rPr>
        <w:t>坚持政府引导、市场运作，立足预制菜产业，筑巢引凤，集中力量打造特色产业链和产业集群。完善园区基础设施配套，全面推进园区道路、给排水、供电、供气、供热、污水处理、固废处理、标准化厂房等基础设施建设。优化园区发展软环境，加强园区公共服务配套，为入园企业提供全链条专业化服务。</w:t>
      </w:r>
    </w:p>
    <w:p w14:paraId="50D26EED">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（二）顶格推进招商引资。</w:t>
      </w:r>
      <w:r>
        <w:rPr>
          <w:rFonts w:hint="default" w:ascii="Times New Roman" w:hAnsi="Times New Roman" w:eastAsia="方正仿宋_GBK" w:cs="Times New Roman"/>
          <w:sz w:val="32"/>
          <w:szCs w:val="40"/>
          <w:lang w:eastAsia="zh-CN"/>
        </w:rPr>
        <w:t>突出扬长补短、固本强基，立足做大产业集群和建链、延链、补链、强链，全面梳理行业头部企业和“链主”企业，创新和优化招商引资方式，通过点对点招商、以商招商、产业链招商，四面八方走出去、千方百计引进来，紧紧围绕效益最大化实施精准招商，为做大做强产业链和产业集群提供源源不断的项目支撑。</w:t>
      </w:r>
    </w:p>
    <w:p w14:paraId="2C03CF2C">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（三）发展终端市场。</w:t>
      </w:r>
      <w:r>
        <w:rPr>
          <w:rFonts w:hint="default" w:ascii="Times New Roman" w:hAnsi="Times New Roman" w:eastAsia="方正仿宋_GBK" w:cs="Times New Roman"/>
          <w:sz w:val="32"/>
          <w:szCs w:val="40"/>
          <w:lang w:eastAsia="zh-CN"/>
        </w:rPr>
        <w:t>着眼“买全国、卖全国”，鼓励引导重点企业根据实际，探索适合自身发展需要的营销新模式，积极帮助企业拓展国内外市场，逐步建立区域性、全国性市场营销网络。拓宽预制菜应用场景，构建多场景消费市场，支持企业扩展团餐、酒店、商超等终端消费市场，支持优质预制菜品牌产品进入政府、学校、工厂、医院、社区等食堂。</w:t>
      </w:r>
    </w:p>
    <w:p w14:paraId="729125D9">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（四）加强品牌建设。</w:t>
      </w:r>
      <w:r>
        <w:rPr>
          <w:rFonts w:hint="default" w:ascii="Times New Roman" w:hAnsi="Times New Roman" w:eastAsia="方正仿宋_GBK" w:cs="Times New Roman"/>
          <w:sz w:val="32"/>
          <w:szCs w:val="40"/>
          <w:lang w:eastAsia="zh-CN"/>
        </w:rPr>
        <w:t>引导企业强化品牌意识和培育能力，打造一批驰名中外的预制菜品牌，让预制菜产业成为消费亮点产业。拓宽品牌营销渠道，依托包头市预制菜产业大会，加大自主品牌展销力度，建立品牌商品产销对接机制，组织企业和有关单位参加国内外品牌推介会、网上集中交易会等活动，支持餐饮协会等行业协会举办预制菜专场推介，鼓励企业创建加盟网店。加强品牌宣传推广，建立政府引导、企业联动、媒体支持、公众参与的知名自主品牌推广体系，建立政府宣传品牌工作机制，充分利用互联网等新方式、新手段，鼓励有条件的企业建立品牌宣传平台，不断提高自主品牌影响力和认知度。</w:t>
      </w:r>
    </w:p>
    <w:p w14:paraId="4C68EF1E">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（五）加强食品安全监管。</w:t>
      </w:r>
      <w:r>
        <w:rPr>
          <w:rFonts w:hint="default" w:ascii="Times New Roman" w:hAnsi="Times New Roman" w:eastAsia="方正仿宋_GBK" w:cs="Times New Roman"/>
          <w:sz w:val="32"/>
          <w:szCs w:val="40"/>
          <w:lang w:eastAsia="zh-CN"/>
        </w:rPr>
        <w:t>着眼高标准引领高品质预制菜发展，逐步制定完善预制菜从田头到餐桌系列标准，形成具有包头特色的预制菜产业标准体系，推进预制菜产业标准化、规模化发展。严格落实“四个最严”要求，从生产、加工、包装、冷链、物流等环节上加强监管，实现全供应链可追溯、质量可控，确保预制菜食品安全。建立完善守信联合激励和失信联合惩戒制度，构建预制菜行业自律他律机制，积极引导预制菜行业规范有序发展。</w:t>
      </w:r>
    </w:p>
    <w:p w14:paraId="1129B86F">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（六）加强人才队伍建设。</w:t>
      </w:r>
      <w:r>
        <w:rPr>
          <w:rFonts w:hint="default" w:ascii="Times New Roman" w:hAnsi="Times New Roman" w:eastAsia="方正仿宋_GBK" w:cs="Times New Roman"/>
          <w:sz w:val="32"/>
          <w:szCs w:val="40"/>
          <w:lang w:eastAsia="zh-CN"/>
        </w:rPr>
        <w:t>充分发挥企业主体作用，鼓励企业引进预制菜产业关键领域技术人才和领军人才，推动预制菜产、学、研一体化发展。鼓励内农大包头校区、包头市轻工职业院校等学校增设相关专业课程，推动院校培训资源与重点企业用工需求无缝衔接，推进预制菜“产学研”基地建设。发挥餐饮企业、行业协会等社会力量，支持预制菜产业发展，开展相关职业技能人才培训和职业技能评价。</w:t>
      </w:r>
    </w:p>
    <w:p w14:paraId="6BC24EA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黑体_GBK" w:cs="Times New Roman"/>
          <w:sz w:val="32"/>
          <w:szCs w:val="40"/>
          <w:lang w:eastAsia="zh-CN"/>
        </w:rPr>
      </w:pPr>
      <w:r>
        <w:rPr>
          <w:rFonts w:hint="default" w:ascii="Times New Roman" w:hAnsi="Times New Roman" w:eastAsia="方正黑体_GBK" w:cs="Times New Roman"/>
          <w:sz w:val="32"/>
          <w:szCs w:val="40"/>
          <w:lang w:eastAsia="zh-CN"/>
        </w:rPr>
        <w:t>七、保障措施</w:t>
      </w:r>
    </w:p>
    <w:p w14:paraId="32A7590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（一）加强组织领导。</w:t>
      </w:r>
      <w:r>
        <w:rPr>
          <w:rFonts w:hint="default" w:ascii="Times New Roman" w:hAnsi="Times New Roman" w:eastAsia="方正仿宋_GBK" w:cs="Times New Roman"/>
          <w:sz w:val="32"/>
          <w:szCs w:val="40"/>
          <w:lang w:eastAsia="zh-CN"/>
        </w:rPr>
        <w:t>成立全市预制菜产业领导小组，由分管副市长担任组长，相关副秘书长和市农牧局主要领导担任副组长，各旗县区、稀土高新区及市发改委、工信局、财政局、人社局、自然资源局、交通运输局、农牧局、商务局、市场监管局等旗县区和相关部门分管领导为成员，每半年至少召开一次全体会议，及时研究解决工作中的重大问题，统筹推进任务落实。领导小组办公室设在市农牧局，负责全市预制菜产业发展工作的综合协调，组织制定预制菜产业发展实施方案、政策清单，明确路线图、时间表和责任分工。各地区、市直相关部门要根据职责分工，加强协调配合，落实工作任务，合力推动预制菜产业高质量发展。</w:t>
      </w:r>
    </w:p>
    <w:p w14:paraId="1D6B796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（二）加强财政和金融政策支持。</w:t>
      </w:r>
      <w:r>
        <w:rPr>
          <w:rFonts w:hint="default" w:ascii="Times New Roman" w:hAnsi="Times New Roman" w:eastAsia="方正仿宋_GBK" w:cs="Times New Roman"/>
          <w:sz w:val="32"/>
          <w:szCs w:val="40"/>
          <w:lang w:eastAsia="zh-CN"/>
        </w:rPr>
        <w:t>坚持“一业一策”，出台支持预制菜产业发展政策措施，对企业落户、产学研合作、固定资产投资、品牌打造等环节给予支持。将预制菜产业发展纳入本级财政支持范围，在不形成地方政府隐性债务前提下，支持符合条件的预制菜产业项目申报地方政府专项债券，引导撬动金融资本、社会资本更多投向预制菜产业。统筹安排涉农资金，支持预制菜直供基地等基础设施建设。建立市、县（区、旗）两级预制菜产业项目储备库，支持建设一批预制菜重大投资项目。大力发展预制菜产业供应链金融，鼓励银行、信托、担保、融资租赁等金融机构对预制菜企业提供融资支持，切实降低企业融资成本。鼓励保险机构推出面向预制菜产品、原材料质量等的专项保险产品。</w:t>
      </w:r>
    </w:p>
    <w:p w14:paraId="2AEE094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（三）加强监督考核。</w:t>
      </w:r>
      <w:r>
        <w:rPr>
          <w:rFonts w:hint="default" w:ascii="Times New Roman" w:hAnsi="Times New Roman" w:eastAsia="方正仿宋_GBK" w:cs="Times New Roman"/>
          <w:sz w:val="32"/>
          <w:szCs w:val="40"/>
          <w:lang w:eastAsia="zh-CN"/>
        </w:rPr>
        <w:t>充分发挥考核导向作用，将推动预制菜产业高质量发展成效纳入全市年度综合绩效目标考核。领导小组办公室要建立协调、调度、督导和考核机制，加强对各部门工作开展情况的督导检查。各旗县区、市直相关部门要将落实情况纳入年度工作重点，明确责任到人，及时解决工作中的薄弱环节和突出问题，推进各项目标任务落实落地。</w:t>
      </w:r>
    </w:p>
    <w:p w14:paraId="6EA73F65">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楷体_GBK" w:cs="Times New Roman"/>
          <w:sz w:val="32"/>
          <w:szCs w:val="40"/>
          <w:lang w:eastAsia="zh-CN"/>
        </w:rPr>
        <w:t>（四）加强宣传引导。</w:t>
      </w:r>
      <w:r>
        <w:rPr>
          <w:rFonts w:hint="default" w:ascii="Times New Roman" w:hAnsi="Times New Roman" w:eastAsia="方正仿宋_GBK" w:cs="Times New Roman"/>
          <w:sz w:val="32"/>
          <w:szCs w:val="40"/>
          <w:lang w:eastAsia="zh-CN"/>
        </w:rPr>
        <w:t>推进预制菜产业与休闲、旅游、文化产业等深度融合，深挖预制菜产业涉及的非物质文化遗产、传统手工技艺，营造预制菜饮食文化的浓厚氛围。统筹利用网、屏、端等平台，加大预制菜政策的解读力度，加强预制菜科普宣传，增强预制菜产业的社会认知度。</w:t>
      </w:r>
    </w:p>
    <w:p w14:paraId="39DB7E6F">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7083A206">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t>附件：包头市预制菜企业名单</w:t>
      </w:r>
    </w:p>
    <w:p w14:paraId="15CCCD94">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1FFC1D71">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5D01F1FC">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58CFF089">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3B79119D">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7425E50D">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0C3B104B">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234660AF">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p>
    <w:p w14:paraId="20BD1F52">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left"/>
        <w:textAlignment w:val="auto"/>
        <w:rPr>
          <w:rFonts w:hint="default" w:ascii="Times New Roman" w:hAnsi="Times New Roman" w:eastAsia="方正仿宋_GBK" w:cs="Times New Roman"/>
          <w:sz w:val="32"/>
          <w:szCs w:val="40"/>
          <w:lang w:eastAsia="zh-CN"/>
        </w:rPr>
      </w:pPr>
      <w:r>
        <w:rPr>
          <w:rFonts w:hint="default" w:ascii="Times New Roman" w:hAnsi="Times New Roman" w:eastAsia="方正仿宋_GBK" w:cs="Times New Roman"/>
          <w:sz w:val="32"/>
          <w:szCs w:val="40"/>
          <w:lang w:eastAsia="zh-CN"/>
        </w:rPr>
        <w:drawing>
          <wp:anchor distT="0" distB="0" distL="114300" distR="114300" simplePos="0" relativeHeight="251668480" behindDoc="1" locked="0" layoutInCell="1" allowOverlap="1">
            <wp:simplePos x="0" y="0"/>
            <wp:positionH relativeFrom="column">
              <wp:posOffset>-62865</wp:posOffset>
            </wp:positionH>
            <wp:positionV relativeFrom="paragraph">
              <wp:posOffset>-49530</wp:posOffset>
            </wp:positionV>
            <wp:extent cx="5297805" cy="8985250"/>
            <wp:effectExtent l="0" t="0" r="5715" b="6350"/>
            <wp:wrapNone/>
            <wp:docPr id="10"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7"/>
                    <pic:cNvPicPr>
                      <a:picLocks noChangeAspect="1"/>
                    </pic:cNvPicPr>
                  </pic:nvPicPr>
                  <pic:blipFill>
                    <a:blip r:embed="rId9"/>
                    <a:stretch>
                      <a:fillRect/>
                    </a:stretch>
                  </pic:blipFill>
                  <pic:spPr>
                    <a:xfrm>
                      <a:off x="0" y="0"/>
                      <a:ext cx="5297805" cy="8985250"/>
                    </a:xfrm>
                    <a:prstGeom prst="rect">
                      <a:avLst/>
                    </a:prstGeom>
                    <a:noFill/>
                    <a:ln>
                      <a:noFill/>
                    </a:ln>
                  </pic:spPr>
                </pic:pic>
              </a:graphicData>
            </a:graphic>
          </wp:anchor>
        </w:drawing>
      </w:r>
    </w:p>
    <w:p w14:paraId="77CE8208">
      <w:pPr>
        <w:pStyle w:val="2"/>
        <w:rPr>
          <w:rFonts w:hint="eastAsia" w:ascii="Times New Roman" w:hAnsi="Times New Roman" w:eastAsia="楷体_GB2312" w:cs="楷体_GB2312"/>
          <w:snapToGrid w:val="0"/>
          <w:color w:val="auto"/>
          <w:kern w:val="0"/>
          <w:sz w:val="30"/>
          <w:szCs w:val="30"/>
        </w:rPr>
      </w:pPr>
    </w:p>
    <w:p w14:paraId="6431B50C">
      <w:pPr>
        <w:pStyle w:val="2"/>
        <w:rPr>
          <w:rFonts w:hint="eastAsia" w:ascii="Times New Roman" w:hAnsi="Times New Roman" w:eastAsia="楷体_GB2312" w:cs="楷体_GB2312"/>
          <w:snapToGrid w:val="0"/>
          <w:color w:val="auto"/>
          <w:kern w:val="0"/>
          <w:sz w:val="30"/>
          <w:szCs w:val="30"/>
        </w:rPr>
      </w:pPr>
    </w:p>
    <w:p w14:paraId="190DE2A6">
      <w:pPr>
        <w:pStyle w:val="2"/>
        <w:rPr>
          <w:rFonts w:hint="default" w:ascii="Times New Roman" w:hAnsi="Times New Roman" w:eastAsia="楷体_GB2312" w:cs="楷体_GB2312"/>
          <w:snapToGrid w:val="0"/>
          <w:color w:val="auto"/>
          <w:kern w:val="0"/>
          <w:sz w:val="30"/>
          <w:szCs w:val="30"/>
        </w:rPr>
      </w:pPr>
    </w:p>
    <w:p w14:paraId="0F345473">
      <w:pPr>
        <w:pStyle w:val="2"/>
        <w:rPr>
          <w:rFonts w:hint="default" w:ascii="Times New Roman" w:hAnsi="Times New Roman" w:eastAsia="楷体_GB2312" w:cs="楷体_GB2312"/>
          <w:snapToGrid w:val="0"/>
          <w:color w:val="auto"/>
          <w:kern w:val="0"/>
          <w:sz w:val="30"/>
          <w:szCs w:val="30"/>
        </w:rPr>
      </w:pPr>
    </w:p>
    <w:p w14:paraId="21BB69B3">
      <w:pPr>
        <w:pStyle w:val="2"/>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both"/>
        <w:textAlignment w:val="auto"/>
        <w:outlineLvl w:val="9"/>
        <w:rPr>
          <w:rFonts w:hint="default" w:ascii="Times New Roman" w:hAnsi="Times New Roman" w:eastAsia="楷体_GB2312" w:cs="楷体_GB2312"/>
          <w:snapToGrid w:val="0"/>
          <w:color w:val="auto"/>
          <w:kern w:val="0"/>
          <w:sz w:val="30"/>
          <w:szCs w:val="30"/>
        </w:rPr>
      </w:pPr>
    </w:p>
    <w:p w14:paraId="50B69F81">
      <w:pPr>
        <w:pStyle w:val="3"/>
        <w:keepNext w:val="0"/>
        <w:keepLines w:val="0"/>
        <w:pageBreakBefore w:val="0"/>
        <w:widowControl w:val="0"/>
        <w:kinsoku/>
        <w:wordWrap/>
        <w:overflowPunct/>
        <w:topLinePunct w:val="0"/>
        <w:autoSpaceDE/>
        <w:autoSpaceDN/>
        <w:bidi w:val="0"/>
        <w:adjustRightInd/>
        <w:snapToGrid/>
        <w:spacing w:beforeAutospacing="0" w:after="0" w:afterAutospacing="0" w:line="600" w:lineRule="exact"/>
        <w:ind w:left="0" w:leftChars="0" w:right="0" w:rightChars="0"/>
        <w:jc w:val="both"/>
        <w:textAlignment w:val="auto"/>
        <w:rPr>
          <w:rFonts w:hint="eastAsia" w:ascii="Times New Roman" w:hAnsi="Times New Roman" w:eastAsia="仿宋_GB2312"/>
          <w:sz w:val="30"/>
          <w:szCs w:val="30"/>
          <w:u w:val="none"/>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3810000</wp:posOffset>
            </wp:positionH>
            <wp:positionV relativeFrom="paragraph">
              <wp:posOffset>26670</wp:posOffset>
            </wp:positionV>
            <wp:extent cx="1800225" cy="533400"/>
            <wp:effectExtent l="0" t="0" r="13335" b="0"/>
            <wp:wrapSquare wrapText="bothSides"/>
            <wp:docPr id="4" name="图片 9" descr="labelocx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labelocxtemp"/>
                    <pic:cNvPicPr>
                      <a:picLocks noChangeAspect="1"/>
                    </pic:cNvPicPr>
                  </pic:nvPicPr>
                  <pic:blipFill>
                    <a:blip r:embed="rId10"/>
                    <a:stretch>
                      <a:fillRect/>
                    </a:stretch>
                  </pic:blipFill>
                  <pic:spPr>
                    <a:xfrm>
                      <a:off x="0" y="0"/>
                      <a:ext cx="1800225" cy="533400"/>
                    </a:xfrm>
                    <a:prstGeom prst="rect">
                      <a:avLst/>
                    </a:prstGeom>
                    <a:noFill/>
                    <a:ln>
                      <a:noFill/>
                    </a:ln>
                  </pic:spPr>
                </pic:pic>
              </a:graphicData>
            </a:graphic>
          </wp:anchor>
        </w:drawing>
      </w:r>
    </w:p>
    <w:p w14:paraId="6D0C5EDB">
      <w:pPr>
        <w:keepNext w:val="0"/>
        <w:keepLines w:val="0"/>
        <w:pageBreakBefore w:val="0"/>
        <w:widowControl w:val="0"/>
        <w:kinsoku/>
        <w:wordWrap/>
        <w:overflowPunct/>
        <w:topLinePunct w:val="0"/>
        <w:autoSpaceDE/>
        <w:autoSpaceDN/>
        <w:bidi w:val="0"/>
        <w:adjustRightInd/>
        <w:snapToGrid/>
        <w:spacing w:beforeAutospacing="0" w:afterAutospacing="0" w:line="20" w:lineRule="exact"/>
        <w:ind w:left="0" w:leftChars="0" w:right="0" w:rightChars="0" w:firstLine="0" w:firstLineChars="0"/>
        <w:jc w:val="both"/>
        <w:textAlignment w:val="auto"/>
        <w:outlineLvl w:val="9"/>
        <w:rPr>
          <w:rFonts w:ascii="Times New Roman" w:hAnsi="Times New Roman"/>
          <w:sz w:val="30"/>
          <w:szCs w:val="30"/>
          <w:u w:val="none"/>
        </w:rPr>
      </w:pPr>
    </w:p>
    <w:sectPr>
      <w:pgSz w:w="11906" w:h="16838"/>
      <w:pgMar w:top="1701" w:right="1531" w:bottom="1701" w:left="1531" w:header="851" w:footer="1757" w:gutter="0"/>
      <w:paperSrc/>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1" w:usb1="080E0000" w:usb2="00000000" w:usb3="00000000" w:csb0="00040000" w:csb1="00000000"/>
  </w:font>
  <w:font w:name="方正小标宋简体">
    <w:altName w:val="方正舒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2000000000000000000"/>
    <w:charset w:val="86"/>
    <w:family w:val="auto"/>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82016" w:usb3="00000000" w:csb0="00040001" w:csb1="00000000"/>
  </w:font>
  <w:font w:name="方正黑体_GBK">
    <w:altName w:val="微软雅黑"/>
    <w:panose1 w:val="02000000000000000000"/>
    <w:charset w:val="86"/>
    <w:family w:val="auto"/>
    <w:pitch w:val="default"/>
    <w:sig w:usb0="00000000" w:usb1="00000000" w:usb2="00082016" w:usb3="00000000" w:csb0="00040001" w:csb1="00000000"/>
  </w:font>
  <w:font w:name="方正仿宋_GBK">
    <w:altName w:val="微软雅黑"/>
    <w:panose1 w:val="02000000000000000000"/>
    <w:charset w:val="86"/>
    <w:family w:val="auto"/>
    <w:pitch w:val="default"/>
    <w:sig w:usb0="00000000" w:usb1="00000000" w:usb2="00082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6"/>
  <w:displayHorizontalDrawingGridEvery w:val="1"/>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AA63EC"/>
    <w:rsid w:val="01712C99"/>
    <w:rsid w:val="064D200F"/>
    <w:rsid w:val="12AA63EC"/>
    <w:rsid w:val="18622B56"/>
    <w:rsid w:val="1CA97F41"/>
    <w:rsid w:val="33AF1786"/>
    <w:rsid w:val="46A60830"/>
    <w:rsid w:val="56321F3E"/>
    <w:rsid w:val="6126381D"/>
    <w:rsid w:val="648A42C7"/>
    <w:rsid w:val="6FCDED35"/>
    <w:rsid w:val="7EFE6378"/>
    <w:rsid w:val="8F7D7CE1"/>
    <w:rsid w:val="FBD3A067"/>
    <w:rsid w:val="FFF90D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semiHidden/>
    <w:uiPriority w:val="0"/>
  </w:style>
  <w:style w:type="table" w:default="1" w:styleId="7">
    <w:name w:val="Normal Table"/>
    <w:semiHidden/>
    <w:qFormat/>
    <w:uiPriority w:val="0"/>
    <w:tblPr>
      <w:tblStyle w:val="7"/>
      <w:tblCellMar>
        <w:top w:w="0" w:type="dxa"/>
        <w:left w:w="108" w:type="dxa"/>
        <w:bottom w:w="0" w:type="dxa"/>
        <w:right w:w="108" w:type="dxa"/>
      </w:tblCellMar>
    </w:tblPr>
  </w:style>
  <w:style w:type="paragraph" w:styleId="2">
    <w:name w:val="Body Text 2"/>
    <w:basedOn w:val="1"/>
    <w:qFormat/>
    <w:uiPriority w:val="0"/>
    <w:pPr>
      <w:spacing w:line="480" w:lineRule="auto"/>
    </w:pPr>
    <w:rPr>
      <w:rFonts w:ascii="Calibri" w:hAnsi="Calibri" w:eastAsia="宋体" w:cs="Times New Roman"/>
      <w:szCs w:val="24"/>
    </w:rPr>
  </w:style>
  <w:style w:type="paragraph" w:styleId="3">
    <w:name w:val="Body Text"/>
    <w:basedOn w:val="1"/>
    <w:next w:val="1"/>
    <w:uiPriority w:val="0"/>
    <w:pPr>
      <w:spacing w:after="120"/>
    </w:p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0"/>
    <w:rPr>
      <w:b/>
      <w:bCs/>
    </w:rPr>
  </w:style>
  <w:style w:type="paragraph" w:customStyle="1" w:styleId="10">
    <w:name w:val="正文文本缩进1"/>
    <w:basedOn w:val="1"/>
    <w:qFormat/>
    <w:uiPriority w:val="0"/>
    <w:pPr>
      <w:spacing w:before="100" w:beforeAutospacing="1" w:after="100" w:afterAutospacing="1"/>
      <w:ind w:left="420" w:leftChars="200"/>
    </w:pPr>
    <w:rPr>
      <w:rFonts w:cs="宋体"/>
    </w:rPr>
  </w:style>
  <w:style w:type="paragraph" w:customStyle="1" w:styleId="11">
    <w:name w:val="正文首行缩进 21"/>
    <w:basedOn w:val="10"/>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188</Words>
  <Characters>211</Characters>
  <Lines>0</Lines>
  <Paragraphs>0</Paragraphs>
  <TotalTime>0</TotalTime>
  <ScaleCrop>false</ScaleCrop>
  <LinksUpToDate>false</LinksUpToDate>
  <CharactersWithSpaces>309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2022-01-26T23:12:00Z</dcterms:created>
  <dc:creator>打字室</dc:creator>
  <cp:lastModifiedBy>鵺雾</cp:lastModifiedBy>
  <cp:lastPrinted>2022-08-13T01:41:47Z</cp:lastPrinted>
  <dcterms:modified xsi:type="dcterms:W3CDTF">2026-05-07T01:43:22Z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eyJoZGlkIjoiM2I1MGI0YWMyYWZkNjRmMjc4MjNlOTM3OWYzZmI4MWIiLCJ1c2VySWQiOiI2OTg1OTYxNTYifQ==</vt:lpwstr>
  </property>
  <property fmtid="{D5CDD505-2E9C-101B-9397-08002B2CF9AE}" pid="4" name="ICV">
    <vt:lpwstr>4BD35540721D460DB58B9BA295E296EE_13</vt:lpwstr>
  </property>
</Properties>
</file>