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  <w:bookmarkStart w:id="1" w:name="_GoBack"/>
      <w:bookmarkEnd w:id="1"/>
    </w:p>
    <w:p w14:paraId="796A6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545B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662E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64559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02B4E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2972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3F82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3968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01F1175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0E2D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</w:rPr>
        <w:t>包府办发〔20</w:t>
      </w: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  <w:t>24</w:t>
      </w: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</w:rPr>
        <w:t>〕</w:t>
      </w: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  <w:t>114</w:t>
      </w: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</w:rPr>
        <w:t>号</w:t>
      </w:r>
    </w:p>
    <w:p w14:paraId="5D1DF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6468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kern w:val="2"/>
          <w:sz w:val="30"/>
          <w:szCs w:val="30"/>
          <w:u w:val="none"/>
        </w:rPr>
      </w:pPr>
    </w:p>
    <w:p w14:paraId="43A1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2"/>
          <w:sz w:val="42"/>
          <w:szCs w:val="42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2"/>
          <w:sz w:val="42"/>
          <w:szCs w:val="42"/>
          <w:u w:val="none"/>
          <w:lang w:eastAsia="zh-CN"/>
        </w:rPr>
        <w:t>包头市人民政府办公室</w:t>
      </w:r>
    </w:p>
    <w:p w14:paraId="18AB43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kern w:val="0"/>
          <w:sz w:val="42"/>
          <w:szCs w:val="4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2"/>
          <w:sz w:val="42"/>
          <w:szCs w:val="42"/>
          <w:u w:val="none"/>
          <w:lang w:eastAsia="zh-CN"/>
        </w:rPr>
        <w:t>关于印发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kern w:val="0"/>
          <w:sz w:val="42"/>
          <w:szCs w:val="42"/>
          <w:shd w:val="clear" w:color="auto" w:fill="FFFFFF"/>
          <w:lang w:eastAsia="zh-CN" w:bidi="ar"/>
        </w:rPr>
        <w:t>包头市支持鼓励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kern w:val="0"/>
          <w:sz w:val="42"/>
          <w:szCs w:val="42"/>
          <w:shd w:val="clear" w:color="auto" w:fill="FFFFFF"/>
          <w:lang w:val="en-US" w:eastAsia="zh-CN" w:bidi="ar"/>
        </w:rPr>
        <w:t>废旧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kern w:val="0"/>
          <w:sz w:val="42"/>
          <w:szCs w:val="42"/>
          <w:shd w:val="clear" w:color="auto" w:fill="FFFFFF"/>
          <w:lang w:eastAsia="zh-CN" w:bidi="ar"/>
        </w:rPr>
        <w:t>电机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kern w:val="0"/>
          <w:sz w:val="42"/>
          <w:szCs w:val="42"/>
          <w:shd w:val="clear" w:color="auto" w:fill="FFFFFF"/>
          <w:lang w:val="en-US" w:eastAsia="zh-CN" w:bidi="ar"/>
        </w:rPr>
        <w:t>规范化</w:t>
      </w:r>
    </w:p>
    <w:p w14:paraId="543BA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2"/>
          <w:sz w:val="42"/>
          <w:szCs w:val="42"/>
          <w:u w:val="none"/>
          <w:lang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kern w:val="0"/>
          <w:sz w:val="42"/>
          <w:szCs w:val="42"/>
          <w:shd w:val="clear" w:color="auto" w:fill="FFFFFF"/>
          <w:lang w:val="en-US" w:eastAsia="zh-CN" w:bidi="ar"/>
        </w:rPr>
        <w:t>回收利用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kern w:val="0"/>
          <w:sz w:val="42"/>
          <w:szCs w:val="42"/>
          <w:shd w:val="clear" w:color="auto" w:fill="FFFFFF"/>
          <w:lang w:eastAsia="zh-CN" w:bidi="ar"/>
        </w:rPr>
        <w:t>的政策措施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kern w:val="2"/>
          <w:sz w:val="42"/>
          <w:szCs w:val="42"/>
          <w:u w:val="none"/>
          <w:lang w:eastAsia="zh-CN"/>
        </w:rPr>
        <w:t>的通知</w:t>
      </w:r>
    </w:p>
    <w:p w14:paraId="4DEA070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u w:val="none"/>
          <w:lang w:eastAsia="zh-CN"/>
        </w:rPr>
      </w:pPr>
    </w:p>
    <w:p w14:paraId="49DB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</w:rPr>
      </w:pPr>
      <w:bookmarkStart w:id="0" w:name="OLE_LINK2"/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</w:rPr>
        <w:t>各旗、县、区人民政府，稀土高新区管委会，市直有关部门、单位：</w:t>
      </w:r>
    </w:p>
    <w:p w14:paraId="34B41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  <w:t>经市人民政府同意，现将《包头市支持鼓励废旧电机规范化回收利用的政策措施》印发给你们，请结合工作实际认真贯彻执行。</w:t>
      </w:r>
      <w:bookmarkEnd w:id="0"/>
    </w:p>
    <w:p w14:paraId="4218E3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rPr>
          <w:rFonts w:hint="eastAsia" w:ascii="Times New Roman" w:hAnsi="Times New Roman" w:eastAsia="楷体_GB2312" w:cs="楷体_GB2312"/>
          <w:u w:val="none"/>
          <w:lang w:val="en-US" w:eastAsia="zh-CN"/>
        </w:rPr>
      </w:pPr>
    </w:p>
    <w:p w14:paraId="55A3B1A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  <w:t xml:space="preserve">          </w:t>
      </w: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" w:eastAsia="zh-CN"/>
        </w:rPr>
        <w:t xml:space="preserve">   </w:t>
      </w: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  <w:t xml:space="preserve"> </w:t>
      </w:r>
    </w:p>
    <w:p w14:paraId="68E39DB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  <w:t xml:space="preserve">                               2024年</w:t>
      </w:r>
      <w:r>
        <w:rPr>
          <w:rFonts w:hint="default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" w:eastAsia="zh-CN"/>
        </w:rPr>
        <w:t>11</w:t>
      </w: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  <w:t>月10日</w:t>
      </w:r>
    </w:p>
    <w:p w14:paraId="3D691BFF"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0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color w:val="auto"/>
          <w:sz w:val="30"/>
          <w:szCs w:val="30"/>
          <w:u w:val="none"/>
          <w:lang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  <w:t>（此件公开发布）</w:t>
      </w:r>
    </w:p>
    <w:p w14:paraId="600E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2"/>
          <w:sz w:val="30"/>
          <w:szCs w:val="30"/>
          <w:u w:val="none"/>
          <w:lang w:val="en-US" w:eastAsia="zh-CN"/>
        </w:rPr>
      </w:pPr>
    </w:p>
    <w:p w14:paraId="3CED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2"/>
          <w:sz w:val="42"/>
          <w:szCs w:val="42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kern w:val="2"/>
          <w:sz w:val="42"/>
          <w:szCs w:val="42"/>
          <w:u w:val="none"/>
          <w:lang w:val="en-US" w:eastAsia="zh-CN"/>
        </w:rPr>
        <w:t>包头市支持鼓励废旧电机</w:t>
      </w:r>
    </w:p>
    <w:p w14:paraId="71D2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color w:val="000000"/>
          <w:spacing w:val="20"/>
          <w:sz w:val="42"/>
          <w:szCs w:val="42"/>
          <w:u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20"/>
          <w:kern w:val="2"/>
          <w:sz w:val="42"/>
          <w:szCs w:val="42"/>
          <w:u w:val="none"/>
          <w:lang w:val="en-US" w:eastAsia="zh-CN"/>
        </w:rPr>
        <w:t>规范化回收利用的政策措施</w:t>
      </w:r>
    </w:p>
    <w:p w14:paraId="649CAC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</w:pPr>
    </w:p>
    <w:p w14:paraId="2EA272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Style w:val="10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  <w:t>为支持鼓励我市废旧电机回收利用规范化行为，促进资源循环利用和环境保护，根据《中华人民共和国节约能源法》、《中华人民共和国清洁生产促进法》、《中华人民共和国固体废物污染环境防治法》等有关规定，制定本措施。</w:t>
      </w:r>
    </w:p>
    <w:p w14:paraId="448A9AE6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  <w:t>加快淘汰低效落后电机</w:t>
      </w:r>
    </w:p>
    <w:p w14:paraId="6A4A152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eastAsia="zh-CN" w:bidi="ar"/>
        </w:rPr>
        <w:t>落实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eastAsia="zh-CN" w:bidi="ar"/>
        </w:rPr>
        <w:t>《重点用能产品设备能效先进水平、节能水平和准入水平（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eastAsia="zh-CN" w:bidi="ar"/>
        </w:rPr>
        <w:t>202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u w:val="none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eastAsia="zh-CN" w:bidi="ar"/>
        </w:rPr>
        <w:t>年版）》（发改环资规</w:t>
      </w:r>
      <w:r>
        <w:rPr>
          <w:rFonts w:hint="eastAsia" w:ascii="Times New Roman" w:hAnsi="Times New Roman" w:eastAsia="楷体_GB2312" w:cs="楷体_GB2312"/>
          <w:sz w:val="30"/>
          <w:szCs w:val="30"/>
          <w:u w:val="none"/>
        </w:rPr>
        <w:t>〔202</w:t>
      </w:r>
      <w:r>
        <w:rPr>
          <w:rFonts w:hint="eastAsia" w:ascii="Times New Roman" w:hAnsi="Times New Roman" w:eastAsia="楷体_GB2312" w:cs="楷体_GB2312"/>
          <w:sz w:val="30"/>
          <w:szCs w:val="30"/>
          <w:u w:val="none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sz w:val="30"/>
          <w:szCs w:val="30"/>
          <w:u w:val="none"/>
        </w:rPr>
        <w:t>〕</w:t>
      </w:r>
      <w:r>
        <w:rPr>
          <w:rFonts w:hint="eastAsia" w:ascii="Times New Roman" w:hAnsi="Times New Roman" w:eastAsia="楷体_GB2312" w:cs="楷体_GB2312"/>
          <w:sz w:val="30"/>
          <w:szCs w:val="30"/>
          <w:u w:val="none"/>
          <w:lang w:val="en-US" w:eastAsia="zh-CN"/>
        </w:rPr>
        <w:t>127号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eastAsia="zh-CN" w:bidi="ar"/>
        </w:rPr>
        <w:t>）有关要求，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val="en-US" w:eastAsia="zh-CN" w:bidi="ar"/>
        </w:rPr>
        <w:t>以现行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eastAsia="zh-CN" w:bidi="ar"/>
        </w:rPr>
        <w:t>电机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val="en-US" w:eastAsia="zh-CN" w:bidi="ar"/>
        </w:rPr>
        <w:t>能效强制性国家标准为基本依据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val="en-US" w:eastAsia="zh-CN" w:bidi="ar"/>
        </w:rPr>
        <w:t>依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  <w:t>法依规淘汰落后低效电机设备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eastAsia="zh-CN" w:bidi="ar"/>
        </w:rPr>
        <w:t>，鼓励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  <w:t>使用稀土永磁及能效一级电机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eastAsia="zh-CN" w:bidi="ar"/>
        </w:rPr>
        <w:t>，提高电机能效使用标准。</w:t>
      </w:r>
    </w:p>
    <w:p w14:paraId="7E0CF8D9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</w:pPr>
      <w:r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  <w:t>支持废旧电机</w:t>
      </w:r>
      <w:r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规范化</w:t>
      </w:r>
      <w:r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  <w:t>处理</w:t>
      </w:r>
    </w:p>
    <w:p w14:paraId="2B55D62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  <w:t>淘汰电机须由市工信局公示的具有废旧电机回收资格的回收单位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eastAsia="zh-CN" w:bidi="ar"/>
        </w:rPr>
        <w:t>处理，回收单位须确保对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  <w:t>回收的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eastAsia="zh-CN" w:bidi="ar"/>
        </w:rPr>
        <w:t>废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  <w:t>旧电机仅用于拆解再生利用。废旧电机应按照有关技术规范要求，在符合环保、安全的条件下拆解，有毒有害物质应当按照国家有关规定，进行无害化处理。</w:t>
      </w:r>
    </w:p>
    <w:p w14:paraId="0ECD6CC5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鼓励废旧电机回收</w:t>
      </w:r>
    </w:p>
    <w:p w14:paraId="598B22D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bidi="ar"/>
        </w:rPr>
        <w:t>回收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企业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bidi="ar"/>
        </w:rPr>
        <w:t>应当将回收的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bidi="ar"/>
        </w:rPr>
        <w:t>旧电机分类建账，配合管理机构做好核查工作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eastAsia="zh-CN" w:bidi="ar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对回收稀土永磁及能效一级电机替换淘汰的电机给予奖补，按废旧电机回收价的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20%奖励给回收利用企业，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单个企业最高奖励100万元。</w:t>
      </w:r>
    </w:p>
    <w:p w14:paraId="715A4C30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支持废旧电机拆解再生利用</w:t>
      </w:r>
    </w:p>
    <w:p w14:paraId="30BE739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</w:pP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支持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推动废旧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电机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规模化、规范化、清洁化再生利用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，对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废旧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电机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精细拆解、复合材料高效解离、有价金属清洁提取、稀贵金属再生利用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的新建项目所采购的主体生产设备，按设备金额的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2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0%给予一次性奖励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，单个企业最高奖励100万元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旗县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级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政府应在手续办理给予支持。</w:t>
      </w:r>
    </w:p>
    <w:p w14:paraId="11D4C4EC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both"/>
        <w:textAlignment w:val="auto"/>
        <w:rPr>
          <w:rStyle w:val="10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  <w:t>支持培育</w:t>
      </w:r>
      <w:r>
        <w:rPr>
          <w:rStyle w:val="10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废旧</w:t>
      </w:r>
      <w:r>
        <w:rPr>
          <w:rStyle w:val="10"/>
          <w:rFonts w:hint="eastAsia" w:ascii="Times New Roman" w:hAnsi="Times New Roman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  <w:t>电</w:t>
      </w:r>
      <w:r>
        <w:rPr>
          <w:rStyle w:val="10"/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eastAsia="zh-CN" w:bidi="ar"/>
        </w:rPr>
        <w:t>机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eastAsia="zh-CN" w:bidi="ar"/>
        </w:rPr>
        <w:t>再生</w:t>
      </w:r>
      <w:r>
        <w:rPr>
          <w:rStyle w:val="10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利用基地</w:t>
      </w:r>
    </w:p>
    <w:p w14:paraId="1962BC1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eastAsia="zh-CN" w:bidi="ar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30"/>
          <w:szCs w:val="30"/>
          <w:lang w:eastAsia="zh-CN" w:bidi="ar"/>
        </w:rPr>
        <w:t>帮</w:t>
      </w:r>
      <w:r>
        <w:rPr>
          <w:rFonts w:hint="eastAsia" w:ascii="Times New Roman" w:hAnsi="Times New Roman" w:eastAsia="仿宋_GB2312" w:cs="仿宋_GB2312"/>
          <w:color w:val="auto"/>
          <w:spacing w:val="-4"/>
          <w:kern w:val="0"/>
          <w:sz w:val="30"/>
          <w:szCs w:val="30"/>
          <w:lang w:eastAsia="zh-CN" w:bidi="ar"/>
        </w:rPr>
        <w:t>助废旧电机</w:t>
      </w:r>
      <w:r>
        <w:rPr>
          <w:rFonts w:hint="eastAsia" w:ascii="Times New Roman" w:hAnsi="Times New Roman" w:eastAsia="仿宋_GB2312" w:cs="仿宋_GB2312"/>
          <w:color w:val="auto"/>
          <w:spacing w:val="-4"/>
          <w:kern w:val="0"/>
          <w:sz w:val="30"/>
          <w:szCs w:val="30"/>
          <w:lang w:val="en-US" w:eastAsia="zh-CN" w:bidi="ar"/>
        </w:rPr>
        <w:t>再</w:t>
      </w:r>
      <w:r>
        <w:rPr>
          <w:rFonts w:hint="eastAsia" w:ascii="Times New Roman" w:hAnsi="Times New Roman" w:eastAsia="仿宋_GB2312" w:cs="仿宋_GB2312"/>
          <w:color w:val="auto"/>
          <w:spacing w:val="-4"/>
          <w:kern w:val="0"/>
          <w:sz w:val="30"/>
          <w:szCs w:val="30"/>
          <w:lang w:eastAsia="zh-CN" w:bidi="ar"/>
        </w:rPr>
        <w:t>生利用企业争取各类财政资金政策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eastAsia="zh-CN" w:bidi="ar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val="en-US" w:eastAsia="zh-CN" w:bidi="ar"/>
        </w:rPr>
        <w:t>依托国家“城市矿产”示范基地，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val="en-US" w:eastAsia="zh-CN" w:bidi="ar"/>
        </w:rPr>
        <w:t>规划布局一批废旧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eastAsia="zh-CN" w:bidi="ar"/>
        </w:rPr>
        <w:t>电机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val="en-US" w:eastAsia="zh-CN" w:bidi="ar"/>
        </w:rPr>
        <w:t>高水平分拣中心、加工利用项目。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eastAsia="zh-CN" w:bidi="ar"/>
        </w:rPr>
        <w:t>结合自治区高水平工业园区创建行动，支持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val="en-US" w:eastAsia="zh-CN" w:bidi="ar"/>
        </w:rPr>
        <w:t>废旧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eastAsia="zh-CN" w:bidi="ar"/>
        </w:rPr>
        <w:t>电机再生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val="en-US" w:eastAsia="zh-CN" w:bidi="ar"/>
        </w:rPr>
        <w:t>利用基地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-4"/>
          <w:kern w:val="0"/>
          <w:sz w:val="30"/>
          <w:szCs w:val="30"/>
          <w:shd w:val="clear" w:color="auto" w:fill="auto"/>
          <w:lang w:eastAsia="zh-CN" w:bidi="ar"/>
        </w:rPr>
        <w:t>基础设施建设。</w:t>
      </w:r>
    </w:p>
    <w:p w14:paraId="26FD5F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30"/>
          <w:szCs w:val="30"/>
          <w:lang w:val="zh-CN" w:bidi="ar"/>
        </w:rPr>
        <w:t>本</w: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val="zh-CN" w:bidi="ar"/>
        </w:rPr>
        <w:t>措施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 w:bidi="ar"/>
        </w:rPr>
        <w:t>自印发之日起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 w:bidi="ar"/>
        </w:rPr>
        <w:t>实施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，</w:t>
      </w:r>
      <w:r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有效期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auto"/>
          <w:lang w:val="en-US" w:eastAsia="zh-CN" w:bidi="ar"/>
        </w:rPr>
        <w:t>两年。</w:t>
      </w:r>
    </w:p>
    <w:p w14:paraId="0E0A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lang w:bidi="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942340</wp:posOffset>
                </wp:positionV>
                <wp:extent cx="2171065" cy="6946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B86374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75pt;margin-top:74.2pt;height:54.7pt;width:170.95pt;mso-wrap-style:none;z-index:-251656192;mso-width-relative:page;mso-height-relative:page;" filled="f" stroked="f" coordsize="21600,21600" o:gfxdata="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vgP8zVAAAACwEAAA8AAAAA&#10;AAAAAQAgAAAAIgAAAGRycy9kb3ducmV2LnhtbFBLAQIUABQAAAAIAIdO4kCzfM7H3gEAALYDAAAO&#10;AAAAAAAAAAEAIAAAACQBAABkcnMvZTJvRG9jLnhtbFBLBQYAAAAABgAGAFkBAAB0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61B86374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仿宋_GB2312"/>
          <w:color w:val="auto"/>
          <w:kern w:val="0"/>
          <w:sz w:val="30"/>
          <w:szCs w:val="30"/>
          <w:u w:val="none"/>
          <w:lang w:bidi="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8143240</wp:posOffset>
                </wp:positionV>
                <wp:extent cx="2171065" cy="6946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6FCC4A">
                            <w:pPr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pt;margin-top:641.2pt;height:54.7pt;width:170.95pt;mso-wrap-style:none;z-index:-251657216;mso-width-relative:page;mso-height-relative:page;" filled="f" stroked="f" coordsize="21600,21600" o:gfxdata="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+4K29cAAAANAQAADwAA&#10;AAAAAAABACAAAAAiAAAAZHJzL2Rvd25yZXYueG1sUEsBAhQAFAAAAAgAh07iQEy+b/veAQAAtgMA&#10;AA4AAAAAAAAAAQAgAAAAJgEAAGRycy9lMm9Eb2MueG1sUEsFBgAAAAAGAAYAWQEAAHYFAAAAAA=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766FCC4A">
                      <w:pPr>
                        <w:rPr>
                          <w:rFonts w:hint="eastAsia" w:eastAsia="仿宋_GB231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0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6C432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7C15B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41FB0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6716B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356DF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1BAB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79DA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783D1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70169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5202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58FA3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71A63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2DD9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09B1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57A0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640FD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340F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04C6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08BE6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2BFA8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570E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3F04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52CF7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1CED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p w14:paraId="16CB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/>
          <w:sz w:val="30"/>
          <w:szCs w:val="30"/>
        </w:rPr>
      </w:pPr>
    </w:p>
    <w:tbl>
      <w:tblPr>
        <w:tblStyle w:val="8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72AD57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36" w:type="dxa"/>
            <w:tcBorders>
              <w:top w:val="single" w:color="auto" w:sz="12" w:space="0"/>
            </w:tcBorders>
            <w:noWrap w:val="0"/>
            <w:vAlign w:val="center"/>
          </w:tcPr>
          <w:p w14:paraId="0404E45E">
            <w:pPr>
              <w:tabs>
                <w:tab w:val="left" w:pos="210"/>
              </w:tabs>
              <w:snapToGrid w:val="0"/>
              <w:spacing w:line="440" w:lineRule="exact"/>
              <w:ind w:firstLine="240" w:firstLineChars="100"/>
              <w:rPr>
                <w:rFonts w:hint="eastAsia" w:ascii="Times New Roman" w:hAnsi="Times New Roman" w:eastAsia="仿宋_GB2312" w:cs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抄送：市委办公室。</w:t>
            </w:r>
            <w:r>
              <w:rPr>
                <w:rFonts w:hint="eastAsia" w:ascii="Times New Roman" w:hAnsi="Times New Roman" w:eastAsia="仿宋_GB2312" w:cs="仿宋_GB2312"/>
                <w:spacing w:val="-10"/>
                <w:sz w:val="24"/>
                <w:szCs w:val="22"/>
              </w:rPr>
              <w:t xml:space="preserve">  </w:t>
            </w:r>
          </w:p>
          <w:p w14:paraId="664D27FE">
            <w:pPr>
              <w:spacing w:line="440" w:lineRule="exact"/>
              <w:rPr>
                <w:rFonts w:hint="eastAsia" w:ascii="Times New Roman" w:hAnsi="Times New Roman" w:eastAsia="仿宋_GB2312" w:cs="仿宋_GB2312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 xml:space="preserve">        市人大常委会办公室、政协办公室。</w:t>
            </w:r>
          </w:p>
        </w:tc>
      </w:tr>
      <w:tr w14:paraId="61731DB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36" w:type="dxa"/>
            <w:tcBorders>
              <w:bottom w:val="single" w:color="auto" w:sz="12" w:space="0"/>
            </w:tcBorders>
            <w:noWrap w:val="0"/>
            <w:vAlign w:val="bottom"/>
          </w:tcPr>
          <w:p w14:paraId="2966A3CA">
            <w:pPr>
              <w:spacing w:line="460" w:lineRule="exact"/>
              <w:rPr>
                <w:rFonts w:hint="eastAsia" w:ascii="Times New Roman" w:hAnsi="Times New Roman" w:eastAsia="仿宋_GB2312" w:cs="仿宋_GB2312"/>
                <w:sz w:val="24"/>
                <w:szCs w:val="22"/>
              </w:rPr>
            </w:pPr>
            <w:r>
              <w:rPr>
                <w:rFonts w:hint="eastAsia" w:ascii="Times New Roman" w:hAnsi="Times New Roman" w:cs="仿宋_GB231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 xml:space="preserve">包头市人民政府办公室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 xml:space="preserve"> 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2"/>
              </w:rPr>
              <w:t>印发</w:t>
            </w:r>
          </w:p>
        </w:tc>
      </w:tr>
    </w:tbl>
    <w:p w14:paraId="45B05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/>
          <w:sz w:val="30"/>
          <w:szCs w:val="30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25400</wp:posOffset>
            </wp:positionV>
            <wp:extent cx="1800225" cy="533400"/>
            <wp:effectExtent l="0" t="0" r="13335" b="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图片 6" descr="labelocx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labelocxtem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531" w:bottom="1701" w:left="1531" w:header="851" w:footer="1757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F305E">
    <w:pPr>
      <w:pStyle w:val="5"/>
      <w:ind w:right="360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232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3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BD71CB">
                          <w:pPr>
                            <w:tabs>
                              <w:tab w:val="left" w:pos="1050"/>
                            </w:tabs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5pt;mso-position-horizontal:outside;mso-position-horizontal-relative:margin;z-index:251659264;mso-width-relative:page;mso-height-relative:page;" filled="f" stroked="f" coordsize="21600,21600" o:gfxdata="UEsDBAoAAAAAAIdO4kAAAAAAAAAAAAAAAAAEAAAAZHJzL1BLAwQUAAAACACHTuJApuZwxtQAAAAF&#10;AQAADwAAAGRycy9kb3ducmV2LnhtbE2PMU/DMBCFdyT+g3VIXVBrOx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uZwxtQA&#10;AAAFAQAADwAAAAAAAAABACAAAAAiAAAAZHJzL2Rvd25yZXYueG1sUEsBAhQAFAAAAAgAh07iQDSr&#10;IHPqAQAAzQMAAA4AAAAAAAAAAQAgAAAAIw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D71CB">
                    <w:pPr>
                      <w:tabs>
                        <w:tab w:val="left" w:pos="1050"/>
                      </w:tabs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ECBAF">
    <w:pPr>
      <w:pStyle w:val="5"/>
      <w:ind w:right="360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85B215">
                          <w:pPr>
                            <w:snapToGrid w:val="0"/>
                            <w:ind w:firstLine="280" w:firstLine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S4dguIBAADMAwAADgAAAGRycy9lMm9Eb2MueG1srVNNrtMwEN4jcQfL&#10;e5q0Eq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P+fMCUsXfvn+7fLj1+XnV7ZM&#10;8vQeK6q681QXh1cw0NLMcaRgYj20waY/8WGUJ3HPV3HVEJlMh9ar9bqklKTc7BB+cX/cB4xvFFiW&#10;jJoHur0sqji9wziWziWpm4NbbUy+QeP+ChDmGFF5BabTick4cbLisB8mentozsSOHgV17SB84ayn&#10;lai5oxfAmXnrSPG0PbMRZmM/G8JJOljzyNlovo7jlh190Icu710aEf3LY6S5M500xtibZEgOXXIW&#10;ZFrItEV/+rnq/hF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9S4dg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85B215">
                    <w:pPr>
                      <w:snapToGrid w:val="0"/>
                      <w:ind w:firstLine="280" w:firstLine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30D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8404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B2690"/>
    <w:multiLevelType w:val="singleLevel"/>
    <w:tmpl w:val="FF3B26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F0BE4"/>
    <w:rsid w:val="1045764D"/>
    <w:rsid w:val="627F0BE4"/>
    <w:rsid w:val="BB795B57"/>
    <w:rsid w:val="FE7D1FC5"/>
    <w:rsid w:val="FFF72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qFormat/>
    <w:uiPriority w:val="0"/>
    <w:pPr>
      <w:widowControl w:val="0"/>
      <w:spacing w:before="100" w:beforeAutospacing="1" w:after="100" w:afterAutospacing="1"/>
      <w:ind w:left="420" w:leftChars="200" w:firstLine="420" w:firstLineChars="20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paragraph" w:styleId="3">
    <w:name w:val="Body Text"/>
    <w:next w:val="1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宋体"/>
      <w:kern w:val="2"/>
      <w:sz w:val="24"/>
      <w:szCs w:val="32"/>
      <w:lang w:val="en-US" w:eastAsia="zh-CN" w:bidi="ar-SA"/>
    </w:rPr>
  </w:style>
  <w:style w:type="character" w:styleId="10">
    <w:name w:val="Strong"/>
    <w:qFormat/>
    <w:uiPriority w:val="22"/>
    <w:rPr>
      <w:b/>
      <w:bCs/>
    </w:rPr>
  </w:style>
  <w:style w:type="paragraph" w:customStyle="1" w:styleId="11">
    <w:name w:val="水电正文"/>
    <w:qFormat/>
    <w:uiPriority w:val="0"/>
    <w:pPr>
      <w:widowControl w:val="0"/>
      <w:adjustRightInd w:val="0"/>
      <w:snapToGrid w:val="0"/>
      <w:jc w:val="both"/>
    </w:pPr>
    <w:rPr>
      <w:rFonts w:ascii="Calibri" w:hAnsi="宋体" w:eastAsia="宋体" w:cs="宋体"/>
      <w:kern w:val="2"/>
      <w:sz w:val="21"/>
      <w:szCs w:val="24"/>
      <w:lang w:val="en-US" w:eastAsia="zh-CN" w:bidi="ar-SA"/>
    </w:rPr>
  </w:style>
  <w:style w:type="paragraph" w:customStyle="1" w:styleId="12">
    <w:name w:val="正文文本缩进1"/>
    <w:qFormat/>
    <w:uiPriority w:val="0"/>
    <w:pPr>
      <w:widowControl w:val="0"/>
      <w:spacing w:before="100" w:beforeAutospacing="1" w:after="100" w:afterAutospacing="1"/>
      <w:ind w:left="420" w:leftChars="20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921</Words>
  <Characters>952</Characters>
  <Lines>0</Lines>
  <Paragraphs>0</Paragraphs>
  <TotalTime>2.33333333333333</TotalTime>
  <ScaleCrop>false</ScaleCrop>
  <LinksUpToDate>false</LinksUpToDate>
  <CharactersWithSpaces>1037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2024-11-19T18:35:00Z</dcterms:created>
  <dc:creator>uos</dc:creator>
  <cp:lastModifiedBy>鵺雾</cp:lastModifiedBy>
  <cp:lastPrinted>2024-11-19T11:19:41Z</cp:lastPrinted>
  <dcterms:modified xsi:type="dcterms:W3CDTF">2026-04-03T08:00:55Z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33339A0D7B7E43F3AFE4442A224FC767_13</vt:lpwstr>
  </property>
</Properties>
</file>