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A3FD13">
      <w:pPr>
        <w:spacing w:after="120"/>
        <w:jc w:val="center"/>
        <w:rPr>
          <w:rFonts w:hint="eastAsia" w:ascii="黑体" w:hAnsi="黑体" w:eastAsia="仿宋" w:cs="Calibri"/>
          <w:b/>
          <w:color w:val="000000" w:themeColor="text1"/>
          <w:sz w:val="36"/>
          <w:szCs w:val="36"/>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-1171575</wp:posOffset>
            </wp:positionH>
            <wp:positionV relativeFrom="paragraph">
              <wp:posOffset>-1005840</wp:posOffset>
            </wp:positionV>
            <wp:extent cx="6821805" cy="4760595"/>
            <wp:effectExtent l="0" t="0" r="10795" b="1905"/>
            <wp:wrapNone/>
            <wp:docPr id="56" name="图片 7"/>
            <wp:cNvGraphicFramePr/>
            <a:graphic xmlns:a="http://schemas.openxmlformats.org/drawingml/2006/main">
              <a:graphicData uri="http://schemas.openxmlformats.org/drawingml/2006/picture">
                <pic:pic xmlns:pic="http://schemas.openxmlformats.org/drawingml/2006/picture">
                  <pic:nvPicPr>
                    <pic:cNvPr id="56" name="图片 7"/>
                    <pic:cNvPicPr/>
                  </pic:nvPicPr>
                  <pic:blipFill>
                    <a:blip r:embed="rId12">
                      <a:extLst>
                        <a:ext uri="{28A0092B-C50C-407E-A947-70E740481C1C}">
                          <a14:useLocalDpi xmlns:a14="http://schemas.microsoft.com/office/drawing/2010/main" val="0"/>
                        </a:ext>
                      </a:extLst>
                    </a:blip>
                    <a:srcRect r="45277"/>
                    <a:stretch>
                      <a:fillRect/>
                    </a:stretch>
                  </pic:blipFill>
                  <pic:spPr>
                    <a:xfrm>
                      <a:off x="0" y="0"/>
                      <a:ext cx="6821805" cy="4760595"/>
                    </a:xfrm>
                    <a:prstGeom prst="rect">
                      <a:avLst/>
                    </a:prstGeom>
                    <a:ln>
                      <a:noFill/>
                    </a:ln>
                  </pic:spPr>
                </pic:pic>
              </a:graphicData>
            </a:graphic>
          </wp:anchor>
        </w:drawing>
      </w:r>
    </w:p>
    <w:p w14:paraId="0630905B">
      <w:pPr>
        <w:spacing w:after="120"/>
        <w:jc w:val="center"/>
        <w:rPr>
          <w:rFonts w:hint="eastAsia" w:ascii="黑体" w:hAnsi="黑体" w:eastAsia="黑体" w:cs="Calibri"/>
          <w:b/>
          <w:color w:val="000000" w:themeColor="text1"/>
          <w:sz w:val="36"/>
          <w:szCs w:val="36"/>
          <w14:textFill>
            <w14:solidFill>
              <w14:schemeClr w14:val="tx1"/>
            </w14:solidFill>
          </w14:textFill>
        </w:rPr>
      </w:pPr>
    </w:p>
    <w:p w14:paraId="101EAD5B">
      <w:pPr>
        <w:spacing w:after="120"/>
        <w:jc w:val="center"/>
        <w:rPr>
          <w:rFonts w:hint="eastAsia" w:ascii="黑体" w:hAnsi="黑体" w:eastAsia="黑体" w:cs="Calibri"/>
          <w:b/>
          <w:color w:val="000000" w:themeColor="text1"/>
          <w:sz w:val="36"/>
          <w:szCs w:val="36"/>
          <w14:textFill>
            <w14:solidFill>
              <w14:schemeClr w14:val="tx1"/>
            </w14:solidFill>
          </w14:textFill>
        </w:rPr>
      </w:pPr>
    </w:p>
    <w:p w14:paraId="03ED3BAD">
      <w:pPr>
        <w:rPr>
          <w:rFonts w:hint="eastAsia" w:ascii="黑体" w:hAnsi="黑体" w:eastAsia="黑体" w:cs="Calibri"/>
          <w:b/>
          <w:color w:val="000000" w:themeColor="text1"/>
          <w:sz w:val="72"/>
          <w:szCs w:val="7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-1102995</wp:posOffset>
                </wp:positionH>
                <wp:positionV relativeFrom="paragraph">
                  <wp:posOffset>5620385</wp:posOffset>
                </wp:positionV>
                <wp:extent cx="6747510" cy="2715260"/>
                <wp:effectExtent l="33020" t="9525" r="13970" b="18415"/>
                <wp:wrapNone/>
                <wp:docPr id="55" name="直角三角形 8"/>
                <wp:cNvGraphicFramePr/>
                <a:graphic xmlns:a="http://schemas.openxmlformats.org/drawingml/2006/main">
                  <a:graphicData uri="http://schemas.microsoft.com/office/word/2010/wordprocessingShape">
                    <wps:wsp>
                      <wps:cNvSpPr/>
                      <wps:spPr>
                        <a:xfrm flipH="1">
                          <a:off x="0" y="0"/>
                          <a:ext cx="6747510" cy="2715260"/>
                        </a:xfrm>
                        <a:prstGeom prst="rtTriangle">
                          <a:avLst/>
                        </a:prstGeom>
                        <a:solidFill>
                          <a:srgbClr val="0F437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FAEBD">
                            <w:pPr>
                              <w:ind w:left="-840" w:leftChars="-300" w:right="140" w:rightChars="50"/>
                              <w:jc w:val="right"/>
                              <w:rPr>
                                <w:rFonts w:ascii="黑体" w:eastAsia="黑体"/>
                                <w:color w:val="FFFFFF" w:themeColor="background1"/>
                                <w:sz w:val="18"/>
                                <w:szCs w:val="1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直角三角形 8" o:spid="_x0000_s1026" o:spt="6" type="#_x0000_t6" style="position:absolute;left:0pt;flip:x;margin-left:-86.85pt;margin-top:442.55pt;height:213.8pt;width:531.3pt;z-index:251661312;v-text-anchor:middle;mso-width-relative:page;mso-height-relative:page;" fillcolor="#0F437F" filled="t" stroked="t" coordsize="21600,21600" o:gfxdata="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GpWSPdAAAADQEAAA8AAAAAAAAAAQAgAAAAIgAAAGRycy9k&#10;b3ducmV2LnhtbFBLAQIUABQAAAAIAIdO4kCkPApyqAIAADsFAAAOAAAAAAAAAAEAIAAAACwBAABk&#10;cnMvZTJvRG9jLnhtbFBLBQYAAAAABgAGAFkBAABGBgAAAAA=&#10;">
                <v:fill on="t" focussize="0,0"/>
                <v:stroke weight="1pt" color="#41719C [3204]" miterlimit="8" joinstyle="miter"/>
                <v:imagedata o:title=""/>
                <o:lock v:ext="edit" aspectratio="f"/>
                <v:textbox>
                  <w:txbxContent>
                    <w:p w14:paraId="737FAEBD">
                      <w:pPr>
                        <w:ind w:left="-840" w:leftChars="-300" w:right="140" w:rightChars="50"/>
                        <w:jc w:val="right"/>
                        <w:rPr>
                          <w:rFonts w:ascii="黑体" w:eastAsia="黑体"/>
                          <w:color w:val="FFFFFF" w:themeColor="background1"/>
                          <w:sz w:val="18"/>
                          <w:szCs w:val="18"/>
                          <w14:textFill>
                            <w14:solidFill>
                              <w14:schemeClr w14:val="bg1"/>
                            </w14:solidFill>
                          </w14:textFill>
                        </w:rPr>
                      </w:pPr>
                    </w:p>
                  </w:txbxContent>
                </v:textbox>
              </v:shape>
            </w:pict>
          </mc:Fallback>
        </mc:AlternateContent>
      </w:r>
      <w:r>
        <w:rPr>
          <w:rFonts w:cs="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1755775</wp:posOffset>
            </wp:positionH>
            <wp:positionV relativeFrom="paragraph">
              <wp:posOffset>5596255</wp:posOffset>
            </wp:positionV>
            <wp:extent cx="1551305" cy="1530350"/>
            <wp:effectExtent l="24765" t="13970" r="81280" b="7493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980000">
                      <a:off x="0" y="0"/>
                      <a:ext cx="1551305" cy="1530350"/>
                    </a:xfrm>
                    <a:prstGeom prst="rect">
                      <a:avLst/>
                    </a:prstGeom>
                  </pic:spPr>
                </pic:pic>
              </a:graphicData>
            </a:graphic>
          </wp:anchor>
        </w:drawing>
      </w:r>
      <w:r>
        <w:rPr>
          <w:rFonts w:hint="eastAsia" w:ascii="黑体" w:hAnsi="黑体" w:eastAsia="黑体" w:cs="Calibri"/>
          <w:b/>
          <w:color w:val="000000" w:themeColor="text1"/>
          <w:sz w:val="72"/>
          <w:szCs w:val="72"/>
          <w14:textFill>
            <w14:solidFill>
              <w14:schemeClr w14:val="tx1"/>
            </w14:solidFill>
          </w14:textFill>
        </w:rPr>
        <w:br w:type="page"/>
      </w:r>
      <w:bookmarkStart w:id="499" w:name="_GoBack"/>
      <w:bookmarkEnd w:id="499"/>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-1342390</wp:posOffset>
                </wp:positionH>
                <wp:positionV relativeFrom="paragraph">
                  <wp:posOffset>1983740</wp:posOffset>
                </wp:positionV>
                <wp:extent cx="7696835" cy="4904105"/>
                <wp:effectExtent l="0" t="0" r="0" b="0"/>
                <wp:wrapNone/>
                <wp:docPr id="57" name="矩形 4"/>
                <wp:cNvGraphicFramePr/>
                <a:graphic xmlns:a="http://schemas.openxmlformats.org/drawingml/2006/main">
                  <a:graphicData uri="http://schemas.microsoft.com/office/word/2010/wordprocessingShape">
                    <wps:wsp>
                      <wps:cNvSpPr/>
                      <wps:spPr>
                        <a:xfrm>
                          <a:off x="0" y="0"/>
                          <a:ext cx="7696835" cy="4904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3F8C0">
                            <w:pPr>
                              <w:jc w:val="center"/>
                              <w:rPr>
                                <w:rFonts w:ascii="Times" w:hAnsi="Times" w:eastAsia="黑体" w:cstheme="minorHAnsi"/>
                                <w:color w:val="000000" w:themeColor="text1"/>
                                <w:sz w:val="56"/>
                                <w:szCs w:val="64"/>
                                <w14:textFill>
                                  <w14:solidFill>
                                    <w14:schemeClr w14:val="tx1"/>
                                  </w14:solidFill>
                                </w14:textFill>
                              </w:rPr>
                            </w:pPr>
                          </w:p>
                          <w:p w14:paraId="136AD9AF">
                            <w:pPr>
                              <w:jc w:val="center"/>
                              <w:rPr>
                                <w:rFonts w:ascii="Times" w:hAnsi="Times" w:eastAsia="黑体" w:cstheme="minorHAnsi"/>
                                <w:color w:val="000000" w:themeColor="text1"/>
                                <w:sz w:val="56"/>
                                <w:szCs w:val="64"/>
                                <w14:textFill>
                                  <w14:solidFill>
                                    <w14:schemeClr w14:val="tx1"/>
                                  </w14:solidFill>
                                </w14:textFill>
                              </w:rPr>
                            </w:pPr>
                            <w:r>
                              <w:rPr>
                                <w:rFonts w:hint="eastAsia" w:ascii="Times" w:hAnsi="Times" w:eastAsia="黑体" w:cstheme="minorHAnsi"/>
                                <w:color w:val="000000" w:themeColor="text1"/>
                                <w:sz w:val="56"/>
                                <w:szCs w:val="64"/>
                                <w14:textFill>
                                  <w14:solidFill>
                                    <w14:schemeClr w14:val="tx1"/>
                                  </w14:solidFill>
                                </w14:textFill>
                              </w:rPr>
                              <w:t>包头市生活垃圾焚烧发电项目</w:t>
                            </w:r>
                          </w:p>
                          <w:p w14:paraId="052DD2B0">
                            <w:pPr>
                              <w:jc w:val="center"/>
                              <w:rPr>
                                <w:rFonts w:hint="eastAsia" w:ascii="Times" w:hAnsi="Times" w:eastAsia="黑体" w:cstheme="minorHAnsi"/>
                                <w:color w:val="000000" w:themeColor="text1"/>
                                <w:sz w:val="56"/>
                                <w:szCs w:val="64"/>
                                <w:lang w:eastAsia="zh-CN"/>
                                <w14:textFill>
                                  <w14:solidFill>
                                    <w14:schemeClr w14:val="tx1"/>
                                  </w14:solidFill>
                                </w14:textFill>
                              </w:rPr>
                            </w:pPr>
                            <w:r>
                              <w:rPr>
                                <w:rFonts w:hint="eastAsia" w:ascii="Times" w:hAnsi="Times" w:eastAsia="黑体" w:cstheme="minorHAnsi"/>
                                <w:color w:val="000000" w:themeColor="text1"/>
                                <w:sz w:val="56"/>
                                <w:szCs w:val="64"/>
                                <w:lang w:eastAsia="zh-CN"/>
                                <w14:textFill>
                                  <w14:solidFill>
                                    <w14:schemeClr w14:val="tx1"/>
                                  </w14:solidFill>
                                </w14:textFill>
                              </w:rPr>
                              <w:t>特许经营方案</w:t>
                            </w:r>
                          </w:p>
                          <w:p w14:paraId="49F861AF">
                            <w:pPr>
                              <w:jc w:val="center"/>
                              <w:rPr>
                                <w:rFonts w:ascii="Times" w:hAnsi="Times" w:eastAsia="黑体" w:cstheme="minorHAnsi"/>
                                <w:color w:val="000000" w:themeColor="text1"/>
                                <w:sz w:val="56"/>
                                <w:szCs w:val="64"/>
                                <w14:textFill>
                                  <w14:solidFill>
                                    <w14:schemeClr w14:val="tx1"/>
                                  </w14:solidFill>
                                </w14:textFill>
                              </w:rPr>
                            </w:pPr>
                            <w:r>
                              <w:rPr>
                                <w:rFonts w:hint="eastAsia" w:ascii="Times" w:hAnsi="Times" w:eastAsia="黑体" w:cstheme="minorHAnsi"/>
                                <w:color w:val="000000" w:themeColor="text1"/>
                                <w:sz w:val="56"/>
                                <w:szCs w:val="64"/>
                                <w14:textFill>
                                  <w14:solidFill>
                                    <w14:schemeClr w14:val="tx1"/>
                                  </w14:solidFill>
                                </w14:textFill>
                              </w:rPr>
                              <w:t>（</w:t>
                            </w:r>
                            <w:r>
                              <w:rPr>
                                <w:rFonts w:hint="eastAsia" w:ascii="Times" w:hAnsi="Times" w:eastAsia="黑体" w:cstheme="minorHAnsi"/>
                                <w:color w:val="000000" w:themeColor="text1"/>
                                <w:sz w:val="56"/>
                                <w:szCs w:val="64"/>
                                <w:lang w:val="en-US" w:eastAsia="zh-CN"/>
                                <w14:textFill>
                                  <w14:solidFill>
                                    <w14:schemeClr w14:val="tx1"/>
                                  </w14:solidFill>
                                </w14:textFill>
                              </w:rPr>
                              <w:t>征求意见</w:t>
                            </w:r>
                            <w:r>
                              <w:rPr>
                                <w:rFonts w:hint="eastAsia" w:ascii="Times" w:hAnsi="Times" w:eastAsia="黑体" w:cstheme="minorHAnsi"/>
                                <w:color w:val="000000" w:themeColor="text1"/>
                                <w:sz w:val="56"/>
                                <w:szCs w:val="64"/>
                                <w14:textFill>
                                  <w14:solidFill>
                                    <w14:schemeClr w14:val="tx1"/>
                                  </w14:solidFill>
                                </w14:textFill>
                              </w:rPr>
                              <w:t>稿）</w:t>
                            </w:r>
                          </w:p>
                          <w:p w14:paraId="58C855CF">
                            <w:pPr>
                              <w:jc w:val="center"/>
                            </w:pPr>
                          </w:p>
                          <w:p w14:paraId="1890BADF">
                            <w:pPr>
                              <w:jc w:val="center"/>
                            </w:pPr>
                          </w:p>
                          <w:p w14:paraId="035DBA3B">
                            <w:pPr>
                              <w:rPr>
                                <w:rFonts w:hint="eastAsia" w:ascii="华文细黑" w:hAnsi="华文细黑" w:eastAsia="华文细黑"/>
                                <w:color w:val="000000" w:themeColor="text1"/>
                                <w:szCs w:val="32"/>
                                <w14:textFill>
                                  <w14:solidFill>
                                    <w14:schemeClr w14:val="tx1"/>
                                  </w14:solidFill>
                                </w14:textFill>
                              </w:rPr>
                            </w:pPr>
                          </w:p>
                          <w:p w14:paraId="3DBE2C45">
                            <w:pPr>
                              <w:jc w:val="center"/>
                              <w:rPr>
                                <w:rFonts w:hint="eastAsia" w:ascii="华文细黑" w:hAnsi="华文细黑" w:eastAsia="华文细黑"/>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包头市城市管理局</w:t>
                            </w:r>
                          </w:p>
                          <w:p w14:paraId="43B52DCE">
                            <w:pPr>
                              <w:jc w:val="center"/>
                              <w:rPr>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北京大岳咨询有限责任公司</w:t>
                            </w:r>
                          </w:p>
                          <w:p w14:paraId="18AB1067">
                            <w:pPr>
                              <w:jc w:val="center"/>
                              <w:rPr>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二〇二</w:t>
                            </w:r>
                            <w:r>
                              <w:rPr>
                                <w:rFonts w:hint="eastAsia" w:ascii="华文细黑" w:hAnsi="华文细黑" w:eastAsia="华文细黑"/>
                                <w:color w:val="000000" w:themeColor="text1"/>
                                <w:szCs w:val="32"/>
                                <w:lang w:val="en-US" w:eastAsia="zh-CN"/>
                                <w14:textFill>
                                  <w14:solidFill>
                                    <w14:schemeClr w14:val="tx1"/>
                                  </w14:solidFill>
                                </w14:textFill>
                              </w:rPr>
                              <w:t>六</w:t>
                            </w:r>
                            <w:r>
                              <w:rPr>
                                <w:rFonts w:hint="eastAsia" w:ascii="华文细黑" w:hAnsi="华文细黑" w:eastAsia="华文细黑"/>
                                <w:color w:val="000000" w:themeColor="text1"/>
                                <w:szCs w:val="32"/>
                                <w14:textFill>
                                  <w14:solidFill>
                                    <w14:schemeClr w14:val="tx1"/>
                                  </w14:solidFill>
                                </w14:textFill>
                              </w:rPr>
                              <w:t>年</w:t>
                            </w:r>
                            <w:r>
                              <w:rPr>
                                <w:rFonts w:hint="eastAsia" w:ascii="华文细黑" w:hAnsi="华文细黑" w:eastAsia="华文细黑"/>
                                <w:color w:val="000000" w:themeColor="text1"/>
                                <w:szCs w:val="32"/>
                                <w:lang w:val="en-US" w:eastAsia="zh-CN"/>
                                <w14:textFill>
                                  <w14:solidFill>
                                    <w14:schemeClr w14:val="tx1"/>
                                  </w14:solidFill>
                                </w14:textFill>
                              </w:rPr>
                              <w:t>二</w:t>
                            </w:r>
                            <w:r>
                              <w:rPr>
                                <w:rFonts w:hint="eastAsia" w:ascii="华文细黑" w:hAnsi="华文细黑" w:eastAsia="华文细黑"/>
                                <w:color w:val="000000" w:themeColor="text1"/>
                                <w:szCs w:val="32"/>
                                <w14:textFill>
                                  <w14:solidFill>
                                    <w14:schemeClr w14:val="tx1"/>
                                  </w14:solidFill>
                                </w14:textFill>
                              </w:rPr>
                              <w:t>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05.7pt;margin-top:156.2pt;height:386.15pt;width:606.05pt;z-index:251663360;v-text-anchor:middle;mso-width-relative:page;mso-height-relative:page;" filled="f" stroked="f" coordsize="21600,21600" o:gfxdata="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RW1sbaAAAADgEAAA8AAAAAAAAAAQAgAAAAIgAAAGRycy9kb3ducmV2LnhtbFBLAQIU&#10;ABQAAAAIAIdO4kAN0uXzYwIAAK8EAAAOAAAAAAAAAAEAIAAAACkBAABkcnMvZTJvRG9jLnhtbFBL&#10;BQYAAAAABgAGAFkBAAD+BQAAAAA=&#10;">
                <v:fill on="f" focussize="0,0"/>
                <v:stroke on="f" weight="1pt" miterlimit="8" joinstyle="miter"/>
                <v:imagedata o:title=""/>
                <o:lock v:ext="edit" aspectratio="f"/>
                <v:textbox>
                  <w:txbxContent>
                    <w:p w14:paraId="6003F8C0">
                      <w:pPr>
                        <w:jc w:val="center"/>
                        <w:rPr>
                          <w:rFonts w:ascii="Times" w:hAnsi="Times" w:eastAsia="黑体" w:cstheme="minorHAnsi"/>
                          <w:color w:val="000000" w:themeColor="text1"/>
                          <w:sz w:val="56"/>
                          <w:szCs w:val="64"/>
                          <w14:textFill>
                            <w14:solidFill>
                              <w14:schemeClr w14:val="tx1"/>
                            </w14:solidFill>
                          </w14:textFill>
                        </w:rPr>
                      </w:pPr>
                    </w:p>
                    <w:p w14:paraId="136AD9AF">
                      <w:pPr>
                        <w:jc w:val="center"/>
                        <w:rPr>
                          <w:rFonts w:ascii="Times" w:hAnsi="Times" w:eastAsia="黑体" w:cstheme="minorHAnsi"/>
                          <w:color w:val="000000" w:themeColor="text1"/>
                          <w:sz w:val="56"/>
                          <w:szCs w:val="64"/>
                          <w14:textFill>
                            <w14:solidFill>
                              <w14:schemeClr w14:val="tx1"/>
                            </w14:solidFill>
                          </w14:textFill>
                        </w:rPr>
                      </w:pPr>
                      <w:r>
                        <w:rPr>
                          <w:rFonts w:hint="eastAsia" w:ascii="Times" w:hAnsi="Times" w:eastAsia="黑体" w:cstheme="minorHAnsi"/>
                          <w:color w:val="000000" w:themeColor="text1"/>
                          <w:sz w:val="56"/>
                          <w:szCs w:val="64"/>
                          <w14:textFill>
                            <w14:solidFill>
                              <w14:schemeClr w14:val="tx1"/>
                            </w14:solidFill>
                          </w14:textFill>
                        </w:rPr>
                        <w:t>包头市生活垃圾焚烧发电项目</w:t>
                      </w:r>
                    </w:p>
                    <w:p w14:paraId="052DD2B0">
                      <w:pPr>
                        <w:jc w:val="center"/>
                        <w:rPr>
                          <w:rFonts w:hint="eastAsia" w:ascii="Times" w:hAnsi="Times" w:eastAsia="黑体" w:cstheme="minorHAnsi"/>
                          <w:color w:val="000000" w:themeColor="text1"/>
                          <w:sz w:val="56"/>
                          <w:szCs w:val="64"/>
                          <w:lang w:eastAsia="zh-CN"/>
                          <w14:textFill>
                            <w14:solidFill>
                              <w14:schemeClr w14:val="tx1"/>
                            </w14:solidFill>
                          </w14:textFill>
                        </w:rPr>
                      </w:pPr>
                      <w:r>
                        <w:rPr>
                          <w:rFonts w:hint="eastAsia" w:ascii="Times" w:hAnsi="Times" w:eastAsia="黑体" w:cstheme="minorHAnsi"/>
                          <w:color w:val="000000" w:themeColor="text1"/>
                          <w:sz w:val="56"/>
                          <w:szCs w:val="64"/>
                          <w:lang w:eastAsia="zh-CN"/>
                          <w14:textFill>
                            <w14:solidFill>
                              <w14:schemeClr w14:val="tx1"/>
                            </w14:solidFill>
                          </w14:textFill>
                        </w:rPr>
                        <w:t>特许经营方案</w:t>
                      </w:r>
                    </w:p>
                    <w:p w14:paraId="49F861AF">
                      <w:pPr>
                        <w:jc w:val="center"/>
                        <w:rPr>
                          <w:rFonts w:ascii="Times" w:hAnsi="Times" w:eastAsia="黑体" w:cstheme="minorHAnsi"/>
                          <w:color w:val="000000" w:themeColor="text1"/>
                          <w:sz w:val="56"/>
                          <w:szCs w:val="64"/>
                          <w14:textFill>
                            <w14:solidFill>
                              <w14:schemeClr w14:val="tx1"/>
                            </w14:solidFill>
                          </w14:textFill>
                        </w:rPr>
                      </w:pPr>
                      <w:r>
                        <w:rPr>
                          <w:rFonts w:hint="eastAsia" w:ascii="Times" w:hAnsi="Times" w:eastAsia="黑体" w:cstheme="minorHAnsi"/>
                          <w:color w:val="000000" w:themeColor="text1"/>
                          <w:sz w:val="56"/>
                          <w:szCs w:val="64"/>
                          <w14:textFill>
                            <w14:solidFill>
                              <w14:schemeClr w14:val="tx1"/>
                            </w14:solidFill>
                          </w14:textFill>
                        </w:rPr>
                        <w:t>（</w:t>
                      </w:r>
                      <w:r>
                        <w:rPr>
                          <w:rFonts w:hint="eastAsia" w:ascii="Times" w:hAnsi="Times" w:eastAsia="黑体" w:cstheme="minorHAnsi"/>
                          <w:color w:val="000000" w:themeColor="text1"/>
                          <w:sz w:val="56"/>
                          <w:szCs w:val="64"/>
                          <w:lang w:val="en-US" w:eastAsia="zh-CN"/>
                          <w14:textFill>
                            <w14:solidFill>
                              <w14:schemeClr w14:val="tx1"/>
                            </w14:solidFill>
                          </w14:textFill>
                        </w:rPr>
                        <w:t>征求意见</w:t>
                      </w:r>
                      <w:r>
                        <w:rPr>
                          <w:rFonts w:hint="eastAsia" w:ascii="Times" w:hAnsi="Times" w:eastAsia="黑体" w:cstheme="minorHAnsi"/>
                          <w:color w:val="000000" w:themeColor="text1"/>
                          <w:sz w:val="56"/>
                          <w:szCs w:val="64"/>
                          <w14:textFill>
                            <w14:solidFill>
                              <w14:schemeClr w14:val="tx1"/>
                            </w14:solidFill>
                          </w14:textFill>
                        </w:rPr>
                        <w:t>稿）</w:t>
                      </w:r>
                    </w:p>
                    <w:p w14:paraId="58C855CF">
                      <w:pPr>
                        <w:jc w:val="center"/>
                      </w:pPr>
                    </w:p>
                    <w:p w14:paraId="1890BADF">
                      <w:pPr>
                        <w:jc w:val="center"/>
                      </w:pPr>
                    </w:p>
                    <w:p w14:paraId="035DBA3B">
                      <w:pPr>
                        <w:rPr>
                          <w:rFonts w:hint="eastAsia" w:ascii="华文细黑" w:hAnsi="华文细黑" w:eastAsia="华文细黑"/>
                          <w:color w:val="000000" w:themeColor="text1"/>
                          <w:szCs w:val="32"/>
                          <w14:textFill>
                            <w14:solidFill>
                              <w14:schemeClr w14:val="tx1"/>
                            </w14:solidFill>
                          </w14:textFill>
                        </w:rPr>
                      </w:pPr>
                    </w:p>
                    <w:p w14:paraId="3DBE2C45">
                      <w:pPr>
                        <w:jc w:val="center"/>
                        <w:rPr>
                          <w:rFonts w:hint="eastAsia" w:ascii="华文细黑" w:hAnsi="华文细黑" w:eastAsia="华文细黑"/>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包头市城市管理局</w:t>
                      </w:r>
                    </w:p>
                    <w:p w14:paraId="43B52DCE">
                      <w:pPr>
                        <w:jc w:val="center"/>
                        <w:rPr>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北京大岳咨询有限责任公司</w:t>
                      </w:r>
                    </w:p>
                    <w:p w14:paraId="18AB1067">
                      <w:pPr>
                        <w:jc w:val="center"/>
                        <w:rPr>
                          <w:color w:val="000000" w:themeColor="text1"/>
                          <w:szCs w:val="32"/>
                          <w14:textFill>
                            <w14:solidFill>
                              <w14:schemeClr w14:val="tx1"/>
                            </w14:solidFill>
                          </w14:textFill>
                        </w:rPr>
                      </w:pPr>
                      <w:r>
                        <w:rPr>
                          <w:rFonts w:hint="eastAsia" w:ascii="华文细黑" w:hAnsi="华文细黑" w:eastAsia="华文细黑"/>
                          <w:color w:val="000000" w:themeColor="text1"/>
                          <w:szCs w:val="32"/>
                          <w14:textFill>
                            <w14:solidFill>
                              <w14:schemeClr w14:val="tx1"/>
                            </w14:solidFill>
                          </w14:textFill>
                        </w:rPr>
                        <w:t>二〇二</w:t>
                      </w:r>
                      <w:r>
                        <w:rPr>
                          <w:rFonts w:hint="eastAsia" w:ascii="华文细黑" w:hAnsi="华文细黑" w:eastAsia="华文细黑"/>
                          <w:color w:val="000000" w:themeColor="text1"/>
                          <w:szCs w:val="32"/>
                          <w:lang w:val="en-US" w:eastAsia="zh-CN"/>
                          <w14:textFill>
                            <w14:solidFill>
                              <w14:schemeClr w14:val="tx1"/>
                            </w14:solidFill>
                          </w14:textFill>
                        </w:rPr>
                        <w:t>六</w:t>
                      </w:r>
                      <w:r>
                        <w:rPr>
                          <w:rFonts w:hint="eastAsia" w:ascii="华文细黑" w:hAnsi="华文细黑" w:eastAsia="华文细黑"/>
                          <w:color w:val="000000" w:themeColor="text1"/>
                          <w:szCs w:val="32"/>
                          <w14:textFill>
                            <w14:solidFill>
                              <w14:schemeClr w14:val="tx1"/>
                            </w14:solidFill>
                          </w14:textFill>
                        </w:rPr>
                        <w:t>年</w:t>
                      </w:r>
                      <w:r>
                        <w:rPr>
                          <w:rFonts w:hint="eastAsia" w:ascii="华文细黑" w:hAnsi="华文细黑" w:eastAsia="华文细黑"/>
                          <w:color w:val="000000" w:themeColor="text1"/>
                          <w:szCs w:val="32"/>
                          <w:lang w:val="en-US" w:eastAsia="zh-CN"/>
                          <w14:textFill>
                            <w14:solidFill>
                              <w14:schemeClr w14:val="tx1"/>
                            </w14:solidFill>
                          </w14:textFill>
                        </w:rPr>
                        <w:t>二</w:t>
                      </w:r>
                      <w:r>
                        <w:rPr>
                          <w:rFonts w:hint="eastAsia" w:ascii="华文细黑" w:hAnsi="华文细黑" w:eastAsia="华文细黑"/>
                          <w:color w:val="000000" w:themeColor="text1"/>
                          <w:szCs w:val="32"/>
                          <w14:textFill>
                            <w14:solidFill>
                              <w14:schemeClr w14:val="tx1"/>
                            </w14:solidFill>
                          </w14:textFill>
                        </w:rPr>
                        <w:t>月</w:t>
                      </w:r>
                    </w:p>
                  </w:txbxContent>
                </v:textbox>
              </v:rect>
            </w:pict>
          </mc:Fallback>
        </mc:AlternateContent>
      </w:r>
    </w:p>
    <w:p w14:paraId="3F17177E">
      <w:pPr>
        <w:pStyle w:val="69"/>
        <w:rPr>
          <w:color w:val="000000" w:themeColor="text1"/>
          <w14:textFill>
            <w14:solidFill>
              <w14:schemeClr w14:val="tx1"/>
            </w14:solidFill>
          </w14:textFill>
        </w:rPr>
      </w:pPr>
    </w:p>
    <w:p w14:paraId="73ED06BA">
      <w:pPr>
        <w:jc w:val="center"/>
        <w:outlineLvl w:val="0"/>
        <w:rPr>
          <w:b/>
          <w:bCs/>
          <w:color w:val="000000" w:themeColor="text1"/>
          <w:sz w:val="32"/>
          <w:szCs w:val="32"/>
          <w14:textFill>
            <w14:solidFill>
              <w14:schemeClr w14:val="tx1"/>
            </w14:solidFill>
          </w14:textFill>
        </w:rPr>
      </w:pPr>
      <w:bookmarkStart w:id="0" w:name="_Toc7143"/>
      <w:bookmarkStart w:id="1" w:name="_Toc8506"/>
      <w:bookmarkStart w:id="2" w:name="_Toc29847"/>
      <w:r>
        <w:rPr>
          <w:rFonts w:hint="eastAsia"/>
          <w:b/>
          <w:bCs/>
          <w:color w:val="000000" w:themeColor="text1"/>
          <w:sz w:val="32"/>
          <w:szCs w:val="32"/>
          <w14:textFill>
            <w14:solidFill>
              <w14:schemeClr w14:val="tx1"/>
            </w14:solidFill>
          </w14:textFill>
        </w:rPr>
        <w:t>编写委员会</w:t>
      </w:r>
      <w:bookmarkEnd w:id="0"/>
      <w:bookmarkEnd w:id="1"/>
      <w:bookmarkEnd w:id="2"/>
    </w:p>
    <w:p w14:paraId="6727F21F">
      <w:pPr>
        <w:rPr>
          <w:b/>
          <w:bCs/>
          <w:color w:val="000000" w:themeColor="text1"/>
          <w:sz w:val="32"/>
          <w:szCs w:val="32"/>
          <w14:textFill>
            <w14:solidFill>
              <w14:schemeClr w14:val="tx1"/>
            </w14:solidFill>
          </w14:textFill>
        </w:rPr>
      </w:pPr>
    </w:p>
    <w:p w14:paraId="0280867A">
      <w:pPr>
        <w:outlineLvl w:val="0"/>
        <w:rPr>
          <w:b/>
          <w:bCs/>
          <w:color w:val="000000" w:themeColor="text1"/>
          <w:sz w:val="32"/>
          <w:szCs w:val="32"/>
          <w14:textFill>
            <w14:solidFill>
              <w14:schemeClr w14:val="tx1"/>
            </w14:solidFill>
          </w14:textFill>
        </w:rPr>
      </w:pPr>
      <w:bookmarkStart w:id="3" w:name="_Toc17927"/>
      <w:bookmarkStart w:id="4" w:name="_Toc8138"/>
      <w:bookmarkStart w:id="5" w:name="_Toc23028"/>
      <w:r>
        <w:rPr>
          <w:rFonts w:hint="eastAsia"/>
          <w:b/>
          <w:bCs/>
          <w:color w:val="000000" w:themeColor="text1"/>
          <w:sz w:val="32"/>
          <w:szCs w:val="32"/>
          <w14:textFill>
            <w14:solidFill>
              <w14:schemeClr w14:val="tx1"/>
            </w14:solidFill>
          </w14:textFill>
        </w:rPr>
        <w:t>编制单位：北京大岳咨询有限责任公司</w:t>
      </w:r>
      <w:bookmarkEnd w:id="3"/>
      <w:bookmarkEnd w:id="4"/>
      <w:bookmarkEnd w:id="5"/>
    </w:p>
    <w:p w14:paraId="17B3A96D">
      <w:pPr>
        <w:rPr>
          <w:b/>
          <w:bCs/>
          <w:color w:val="000000" w:themeColor="text1"/>
          <w:sz w:val="32"/>
          <w:szCs w:val="32"/>
          <w14:textFill>
            <w14:solidFill>
              <w14:schemeClr w14:val="tx1"/>
            </w14:solidFill>
          </w14:textFill>
        </w:rPr>
      </w:pPr>
    </w:p>
    <w:p w14:paraId="6277696E">
      <w:pPr>
        <w:outlineLvl w:val="0"/>
        <w:rPr>
          <w:b/>
          <w:bCs/>
          <w:color w:val="000000" w:themeColor="text1"/>
          <w:sz w:val="32"/>
          <w:szCs w:val="32"/>
          <w14:textFill>
            <w14:solidFill>
              <w14:schemeClr w14:val="tx1"/>
            </w14:solidFill>
          </w14:textFill>
        </w:rPr>
      </w:pPr>
      <w:bookmarkStart w:id="6" w:name="_Toc18115"/>
      <w:bookmarkStart w:id="7" w:name="_Toc29587"/>
      <w:bookmarkStart w:id="8" w:name="_Toc25741"/>
      <w:r>
        <w:rPr>
          <w:rFonts w:hint="eastAsia"/>
          <w:b/>
          <w:bCs/>
          <w:color w:val="000000" w:themeColor="text1"/>
          <w:sz w:val="32"/>
          <w:szCs w:val="32"/>
          <w14:textFill>
            <w14:solidFill>
              <w14:schemeClr w14:val="tx1"/>
            </w14:solidFill>
          </w14:textFill>
        </w:rPr>
        <w:t>资质证书：工程咨询单位甲级资信</w:t>
      </w:r>
      <w:bookmarkEnd w:id="6"/>
      <w:bookmarkEnd w:id="7"/>
      <w:bookmarkEnd w:id="8"/>
    </w:p>
    <w:p w14:paraId="1A147F99">
      <w:pPr>
        <w:rPr>
          <w:b/>
          <w:bCs/>
          <w:color w:val="000000" w:themeColor="text1"/>
          <w:sz w:val="32"/>
          <w:szCs w:val="32"/>
          <w14:textFill>
            <w14:solidFill>
              <w14:schemeClr w14:val="tx1"/>
            </w14:solidFill>
          </w14:textFill>
        </w:rPr>
      </w:pPr>
    </w:p>
    <w:p w14:paraId="1F6FD3DF">
      <w:pPr>
        <w:outlineLvl w:val="0"/>
        <w:rPr>
          <w:b/>
          <w:bCs/>
          <w:color w:val="000000" w:themeColor="text1"/>
          <w:sz w:val="32"/>
          <w:szCs w:val="32"/>
          <w14:textFill>
            <w14:solidFill>
              <w14:schemeClr w14:val="tx1"/>
            </w14:solidFill>
          </w14:textFill>
        </w:rPr>
      </w:pPr>
      <w:bookmarkStart w:id="9" w:name="_Toc17820"/>
      <w:bookmarkStart w:id="10" w:name="_Toc30495"/>
      <w:bookmarkStart w:id="11" w:name="_Toc26641"/>
      <w:r>
        <w:rPr>
          <w:rFonts w:hint="eastAsia"/>
          <w:b/>
          <w:bCs/>
          <w:color w:val="000000" w:themeColor="text1"/>
          <w:sz w:val="32"/>
          <w:szCs w:val="32"/>
          <w14:textFill>
            <w14:solidFill>
              <w14:schemeClr w14:val="tx1"/>
            </w14:solidFill>
          </w14:textFill>
        </w:rPr>
        <w:t>法定代表人：金永祥（高级工程师）</w:t>
      </w:r>
      <w:bookmarkEnd w:id="9"/>
      <w:bookmarkEnd w:id="10"/>
      <w:bookmarkEnd w:id="11"/>
    </w:p>
    <w:p w14:paraId="201FC9D6">
      <w:pPr>
        <w:rPr>
          <w:b/>
          <w:bCs/>
          <w:color w:val="000000" w:themeColor="text1"/>
          <w:sz w:val="32"/>
          <w:szCs w:val="32"/>
          <w14:textFill>
            <w14:solidFill>
              <w14:schemeClr w14:val="tx1"/>
            </w14:solidFill>
          </w14:textFill>
        </w:rPr>
      </w:pPr>
    </w:p>
    <w:p w14:paraId="7E8ED694">
      <w:pPr>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技术负责人：徐志刚（注册咨询师、高级工程师）</w:t>
      </w:r>
    </w:p>
    <w:p w14:paraId="48CAE2AD">
      <w:pPr>
        <w:rPr>
          <w:b/>
          <w:bCs/>
          <w:color w:val="000000" w:themeColor="text1"/>
          <w:sz w:val="32"/>
          <w:szCs w:val="32"/>
          <w14:textFill>
            <w14:solidFill>
              <w14:schemeClr w14:val="tx1"/>
            </w14:solidFill>
          </w14:textFill>
        </w:rPr>
      </w:pPr>
    </w:p>
    <w:p w14:paraId="2A66EAE1">
      <w:pPr>
        <w:outlineLvl w:val="0"/>
        <w:rPr>
          <w:b/>
          <w:bCs/>
          <w:color w:val="000000" w:themeColor="text1"/>
          <w:sz w:val="32"/>
          <w:szCs w:val="32"/>
          <w14:textFill>
            <w14:solidFill>
              <w14:schemeClr w14:val="tx1"/>
            </w14:solidFill>
          </w14:textFill>
        </w:rPr>
      </w:pPr>
      <w:bookmarkStart w:id="12" w:name="_Toc6809"/>
      <w:bookmarkStart w:id="13" w:name="_Toc16647"/>
      <w:bookmarkStart w:id="14" w:name="_Toc20602"/>
      <w:r>
        <w:rPr>
          <w:rFonts w:hint="eastAsia"/>
          <w:b/>
          <w:bCs/>
          <w:color w:val="000000" w:themeColor="text1"/>
          <w:sz w:val="32"/>
          <w:szCs w:val="32"/>
          <w14:textFill>
            <w14:solidFill>
              <w14:schemeClr w14:val="tx1"/>
            </w14:solidFill>
          </w14:textFill>
        </w:rPr>
        <w:t>负责人：张效嵬（注册咨询师、高级经济师）</w:t>
      </w:r>
      <w:bookmarkEnd w:id="12"/>
      <w:bookmarkEnd w:id="13"/>
      <w:bookmarkEnd w:id="14"/>
    </w:p>
    <w:p w14:paraId="494D8005">
      <w:pPr>
        <w:rPr>
          <w:b/>
          <w:bCs/>
          <w:color w:val="000000" w:themeColor="text1"/>
          <w:sz w:val="32"/>
          <w:szCs w:val="32"/>
          <w14:textFill>
            <w14:solidFill>
              <w14:schemeClr w14:val="tx1"/>
            </w14:solidFill>
          </w14:textFill>
        </w:rPr>
      </w:pPr>
    </w:p>
    <w:p w14:paraId="44E40E70">
      <w:pPr>
        <w:ind w:left="1606" w:hanging="1606" w:hangingChars="50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编制人：</w:t>
      </w:r>
      <w:r>
        <w:rPr>
          <w:rFonts w:hint="eastAsia" w:ascii="仿宋" w:hAnsi="仿宋" w:cs="仿宋"/>
          <w:b/>
          <w:bCs/>
          <w:color w:val="000000" w:themeColor="text1"/>
          <w:sz w:val="32"/>
          <w:szCs w:val="32"/>
          <w14:textFill>
            <w14:solidFill>
              <w14:schemeClr w14:val="tx1"/>
            </w14:solidFill>
          </w14:textFill>
        </w:rPr>
        <w:t>曹阳、张燕、韩丽丽、韩强、武诗其、孟兆强、徐天明、</w:t>
      </w:r>
      <w:r>
        <w:rPr>
          <w:rFonts w:hint="eastAsia"/>
          <w:b/>
          <w:bCs/>
          <w:color w:val="000000" w:themeColor="text1"/>
          <w:sz w:val="32"/>
          <w:szCs w:val="32"/>
          <w14:textFill>
            <w14:solidFill>
              <w14:schemeClr w14:val="tx1"/>
            </w14:solidFill>
          </w14:textFill>
        </w:rPr>
        <w:t>张旭东</w:t>
      </w:r>
    </w:p>
    <w:p w14:paraId="7E482190">
      <w:pPr>
        <w:rPr>
          <w:b/>
          <w:bCs/>
          <w:color w:val="000000" w:themeColor="text1"/>
          <w:sz w:val="32"/>
          <w:szCs w:val="32"/>
          <w14:textFill>
            <w14:solidFill>
              <w14:schemeClr w14:val="tx1"/>
            </w14:solidFill>
          </w14:textFill>
        </w:rPr>
      </w:pPr>
    </w:p>
    <w:p w14:paraId="7C0AC962">
      <w:pPr>
        <w:rPr>
          <w:rFonts w:hint="eastAsia" w:eastAsia="仿宋"/>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审核人：徐志刚（注册咨询师、高级工程师）</w:t>
      </w:r>
    </w:p>
    <w:p w14:paraId="44DCA79E">
      <w:pPr>
        <w:ind w:firstLine="1606" w:firstLineChars="500"/>
        <w:outlineLvl w:val="0"/>
        <w:rPr>
          <w:color w:val="000000" w:themeColor="text1"/>
          <w14:textFill>
            <w14:solidFill>
              <w14:schemeClr w14:val="tx1"/>
            </w14:solidFill>
          </w14:textFill>
        </w:rPr>
      </w:pPr>
      <w:bookmarkStart w:id="15" w:name="_Toc2496"/>
      <w:bookmarkStart w:id="16" w:name="_Toc14647"/>
      <w:bookmarkStart w:id="17" w:name="_Toc4091"/>
      <w:r>
        <w:rPr>
          <w:rFonts w:hint="eastAsia"/>
          <w:b/>
          <w:bCs/>
          <w:color w:val="000000" w:themeColor="text1"/>
          <w:sz w:val="32"/>
          <w:szCs w:val="32"/>
          <w14:textFill>
            <w14:solidFill>
              <w14:schemeClr w14:val="tx1"/>
            </w14:solidFill>
          </w14:textFill>
        </w:rPr>
        <w:t>崔红永（注册咨询师）</w:t>
      </w:r>
      <w:r>
        <w:rPr>
          <w:color w:val="000000" w:themeColor="text1"/>
          <w14:textFill>
            <w14:solidFill>
              <w14:schemeClr w14:val="tx1"/>
            </w14:solidFill>
          </w14:textFill>
        </w:rPr>
        <w:br w:type="page"/>
      </w:r>
      <w:bookmarkEnd w:id="15"/>
      <w:bookmarkEnd w:id="16"/>
      <w:bookmarkEnd w:id="17"/>
    </w:p>
    <w:p w14:paraId="60172B58">
      <w:pPr>
        <w:pStyle w:val="69"/>
        <w:outlineLvl w:val="0"/>
        <w:rPr>
          <w:color w:val="000000" w:themeColor="text1"/>
          <w:sz w:val="32"/>
          <w:szCs w:val="32"/>
          <w14:textFill>
            <w14:solidFill>
              <w14:schemeClr w14:val="tx1"/>
            </w14:solidFill>
          </w14:textFill>
        </w:rPr>
      </w:pPr>
      <w:bookmarkStart w:id="18" w:name="_Toc13817"/>
      <w:bookmarkStart w:id="19" w:name="_Toc1127"/>
      <w:bookmarkStart w:id="20" w:name="_Toc8178"/>
      <w:r>
        <w:rPr>
          <w:color w:val="000000" w:themeColor="text1"/>
          <w:sz w:val="32"/>
          <w:szCs w:val="32"/>
          <w14:textFill>
            <w14:solidFill>
              <w14:schemeClr w14:val="tx1"/>
            </w14:solidFill>
          </w14:textFill>
        </w:rPr>
        <w:t>编制单位公司营业执照及资质证书</w:t>
      </w:r>
      <w:bookmarkEnd w:id="18"/>
      <w:bookmarkEnd w:id="19"/>
      <w:bookmarkEnd w:id="20"/>
    </w:p>
    <w:p w14:paraId="73E6ABB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7710805" cy="5431790"/>
            <wp:effectExtent l="0" t="0" r="165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7727123" cy="5443222"/>
                    </a:xfrm>
                    <a:prstGeom prst="rect">
                      <a:avLst/>
                    </a:prstGeom>
                    <a:noFill/>
                    <a:ln>
                      <a:noFill/>
                    </a:ln>
                  </pic:spPr>
                </pic:pic>
              </a:graphicData>
            </a:graphic>
          </wp:inline>
        </w:drawing>
      </w:r>
    </w:p>
    <w:p w14:paraId="7356F9D3">
      <w:pPr>
        <w:pStyle w:val="2"/>
        <w:rPr>
          <w:rFonts w:cs="Times New Roman"/>
          <w:color w:val="000000" w:themeColor="text1"/>
          <w14:textFill>
            <w14:solidFill>
              <w14:schemeClr w14:val="tx1"/>
            </w14:solidFill>
          </w14:textFill>
        </w:rPr>
      </w:pPr>
    </w:p>
    <w:p w14:paraId="6ABB0C36">
      <w:pPr>
        <w:rPr>
          <w:rFonts w:cs="Times New Roman"/>
          <w:color w:val="000000" w:themeColor="text1"/>
          <w14:textFill>
            <w14:solidFill>
              <w14:schemeClr w14:val="tx1"/>
            </w14:solidFill>
          </w14:textFill>
        </w:rPr>
      </w:pPr>
    </w:p>
    <w:p w14:paraId="24D05780">
      <w:pPr>
        <w:pStyle w:val="2"/>
        <w:rPr>
          <w:rFonts w:hint="eastAsia" w:eastAsia="黑体"/>
          <w:color w:val="000000" w:themeColor="text1"/>
          <w:lang w:eastAsia="zh-CN"/>
          <w14:textFill>
            <w14:solidFill>
              <w14:schemeClr w14:val="tx1"/>
            </w14:solidFill>
          </w14:textFill>
        </w:rPr>
      </w:pPr>
    </w:p>
    <w:p w14:paraId="56DE59A9">
      <w:pPr>
        <w:spacing w:line="240" w:lineRule="auto"/>
        <w:jc w:val="center"/>
        <w:rPr>
          <w:rFonts w:hint="eastAsia" w:ascii="宋体" w:hAnsi="宋体" w:eastAsia="宋体"/>
          <w:b/>
          <w:bCs/>
          <w:color w:val="000000" w:themeColor="text1"/>
          <w:szCs w:val="28"/>
          <w14:textFill>
            <w14:solidFill>
              <w14:schemeClr w14:val="tx1"/>
            </w14:solidFill>
          </w14:textFill>
        </w:rPr>
      </w:pPr>
      <w:r>
        <w:rPr>
          <w:rFonts w:hint="eastAsia" w:eastAsia="黑体"/>
          <w:color w:val="000000" w:themeColor="text1"/>
          <w:lang w:eastAsia="zh-CN"/>
          <w14:textFill>
            <w14:solidFill>
              <w14:schemeClr w14:val="tx1"/>
            </w14:solidFill>
          </w14:textFill>
        </w:rPr>
        <w:drawing>
          <wp:inline distT="0" distB="0" distL="114300" distR="114300">
            <wp:extent cx="4975860" cy="8214360"/>
            <wp:effectExtent l="0" t="0" r="2540" b="2540"/>
            <wp:docPr id="29" name="图片 29" descr="甲级资信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甲级资信PPP"/>
                    <pic:cNvPicPr>
                      <a:picLocks noChangeAspect="1"/>
                    </pic:cNvPicPr>
                  </pic:nvPicPr>
                  <pic:blipFill>
                    <a:blip r:embed="rId15"/>
                    <a:stretch>
                      <a:fillRect/>
                    </a:stretch>
                  </pic:blipFill>
                  <pic:spPr>
                    <a:xfrm>
                      <a:off x="0" y="0"/>
                      <a:ext cx="4975860" cy="8214360"/>
                    </a:xfrm>
                    <a:prstGeom prst="rect">
                      <a:avLst/>
                    </a:prstGeom>
                  </pic:spPr>
                </pic:pic>
              </a:graphicData>
            </a:graphic>
          </wp:inline>
        </w:drawing>
      </w:r>
      <w:r>
        <w:rPr>
          <w:rFonts w:hint="eastAsia" w:ascii="宋体" w:hAnsi="宋体" w:eastAsia="宋体"/>
          <w:b/>
          <w:bCs/>
          <w:color w:val="000000" w:themeColor="text1"/>
          <w:szCs w:val="28"/>
          <w14:textFill>
            <w14:solidFill>
              <w14:schemeClr w14:val="tx1"/>
            </w14:solidFill>
          </w14:textFill>
        </w:rPr>
        <w:drawing>
          <wp:inline distT="0" distB="0" distL="114300" distR="114300">
            <wp:extent cx="4701540" cy="8544560"/>
            <wp:effectExtent l="0" t="0" r="10160" b="2540"/>
            <wp:docPr id="30" name="图片 30" descr="甲级资信市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甲级资信市政"/>
                    <pic:cNvPicPr>
                      <a:picLocks noChangeAspect="1"/>
                    </pic:cNvPicPr>
                  </pic:nvPicPr>
                  <pic:blipFill>
                    <a:blip r:embed="rId16"/>
                    <a:stretch>
                      <a:fillRect/>
                    </a:stretch>
                  </pic:blipFill>
                  <pic:spPr>
                    <a:xfrm>
                      <a:off x="0" y="0"/>
                      <a:ext cx="4701540" cy="8544560"/>
                    </a:xfrm>
                    <a:prstGeom prst="rect">
                      <a:avLst/>
                    </a:prstGeom>
                  </pic:spPr>
                </pic:pic>
              </a:graphicData>
            </a:graphic>
          </wp:inline>
        </w:drawing>
      </w:r>
    </w:p>
    <w:sdt>
      <w:sdtPr>
        <w:rPr>
          <w:rFonts w:hint="default" w:ascii="Times New Roman" w:hAnsi="Times New Roman" w:eastAsia="宋体" w:cs="Times New Roman"/>
          <w:kern w:val="2"/>
          <w:sz w:val="28"/>
          <w:szCs w:val="28"/>
          <w:lang w:val="en-US" w:eastAsia="zh-CN" w:bidi="ar-SA"/>
        </w:rPr>
        <w:id w:val="147477117"/>
        <w15:color w:val="DBDBDB"/>
        <w:docPartObj>
          <w:docPartGallery w:val="Table of Contents"/>
          <w:docPartUnique/>
        </w:docPartObj>
      </w:sdtPr>
      <w:sdtEndPr>
        <w:rPr>
          <w:rFonts w:hint="default" w:ascii="Times New Roman" w:hAnsi="Times New Roman" w:eastAsia="仿宋" w:cstheme="minorBidi"/>
          <w:bCs/>
          <w:color w:val="000000" w:themeColor="text1"/>
          <w:kern w:val="2"/>
          <w:sz w:val="28"/>
          <w:szCs w:val="28"/>
          <w:lang w:val="en-US" w:eastAsia="zh-CN" w:bidi="ar-SA"/>
          <w14:textFill>
            <w14:solidFill>
              <w14:schemeClr w14:val="tx1"/>
            </w14:solidFill>
          </w14:textFill>
        </w:rPr>
      </w:sdtEndPr>
      <w:sdtContent>
        <w:p w14:paraId="0C1B7087">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目录</w:t>
          </w:r>
        </w:p>
        <w:p w14:paraId="7FCAA17B">
          <w:pPr>
            <w:pStyle w:val="53"/>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
              <w:bCs/>
              <w:color w:val="000000" w:themeColor="text1"/>
              <w:sz w:val="28"/>
              <w:szCs w:val="28"/>
              <w14:textFill>
                <w14:solidFill>
                  <w14:schemeClr w14:val="tx1"/>
                </w14:solidFill>
              </w14:textFill>
            </w:rPr>
            <w:instrText xml:space="preserve">TOC \o "1-3" \h \u </w:instrText>
          </w:r>
          <w:r>
            <w:rPr>
              <w:rFonts w:hint="default" w:ascii="Times New Roman" w:hAnsi="Times New Roman" w:eastAsia="宋体" w:cs="Times New Roman"/>
              <w:b/>
              <w:bCs/>
              <w:color w:val="000000" w:themeColor="text1"/>
              <w:sz w:val="28"/>
              <w:szCs w:val="28"/>
              <w14:textFill>
                <w14:solidFill>
                  <w14:schemeClr w14:val="tx1"/>
                </w14:solidFill>
              </w14:textFill>
            </w:rPr>
            <w:fldChar w:fldCharType="separate"/>
          </w: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_Toc16050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第一部分概述</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_Toc16050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811879C">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_Toc4446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一、</w:t>
          </w:r>
          <w:r>
            <w:rPr>
              <w:rFonts w:hint="default" w:ascii="Times New Roman" w:hAnsi="Times New Roman" w:eastAsia="宋体" w:cs="Times New Roman"/>
              <w:sz w:val="28"/>
              <w:szCs w:val="28"/>
            </w:rPr>
            <w:t>项目概况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_Toc4446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56123DC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_Toc31744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（一）项目名称</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_Toc31744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14EA684">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_Toc22681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（二）建设依据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_Toc22681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C2A2C0C">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_Toc24583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（三）项目建设目标和任务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_Toc24583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5AA02F0">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_Toc23041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（四）项目功能和定位</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_Toc23041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11E2935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_Toc17268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（五）建设地点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_Toc17268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22B6D02">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_Toc10339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（六）建设工期</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_Toc10339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09836D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_Toc24433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（七）建设内容和规模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_Toc24433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A7EB051">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_Toc27556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（八）投资规模和资金来源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_Toc27556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83E8421">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_Toc18983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（九）</w:t>
          </w:r>
          <w:r>
            <w:rPr>
              <w:rFonts w:hint="default" w:ascii="Times New Roman" w:hAnsi="Times New Roman" w:eastAsia="宋体" w:cs="Times New Roman"/>
              <w:sz w:val="28"/>
              <w:szCs w:val="28"/>
              <w:lang w:val="en-US" w:eastAsia="zh-CN"/>
            </w:rPr>
            <w:t>建设投资控制措施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_Toc18983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8264A1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_Toc8123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（十）主要需求和产出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_Toc8123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0E04968">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_Toc7258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（十一）主要技术经济指标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_Toc7258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9BC3B94">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_Toc31835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（十二）前期工作进展情况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_Toc31835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3DE6970">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_Toc12520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二、</w:t>
          </w:r>
          <w:r>
            <w:rPr>
              <w:rFonts w:hint="default" w:ascii="Times New Roman" w:hAnsi="Times New Roman" w:eastAsia="宋体" w:cs="Times New Roman"/>
              <w:sz w:val="28"/>
              <w:szCs w:val="28"/>
            </w:rPr>
            <w:t>项目实施机构等</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_Toc12520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204B399">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_Toc21248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w:t>
          </w:r>
          <w:r>
            <w:rPr>
              <w:rFonts w:hint="default" w:ascii="Times New Roman" w:hAnsi="Times New Roman" w:eastAsia="宋体" w:cs="Times New Roman"/>
              <w:sz w:val="28"/>
              <w:szCs w:val="28"/>
              <w:lang w:val="en-US" w:eastAsia="zh-CN"/>
            </w:rPr>
            <w:t>实施机构简介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_Toc21248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F4EA2EE">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_Toc13613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eastAsia="zh-CN"/>
            </w:rPr>
            <w:t>（二）实施机构主要职责</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_Toc13613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13D4C44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_Toc24119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（三）政府方出资代表简介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_Toc24119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8109551">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_Toc14747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（四）政府方出资代表</w:t>
          </w:r>
          <w:r>
            <w:rPr>
              <w:rFonts w:hint="default" w:ascii="Times New Roman" w:hAnsi="Times New Roman" w:eastAsia="宋体" w:cs="Times New Roman"/>
              <w:sz w:val="28"/>
              <w:szCs w:val="28"/>
              <w:lang w:val="en-US" w:eastAsia="zh-CN"/>
            </w:rPr>
            <w:t>主要职责</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_Toc14747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D747660">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_Toc5209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三、</w:t>
          </w:r>
          <w:r>
            <w:rPr>
              <w:rFonts w:hint="default" w:ascii="Times New Roman" w:hAnsi="Times New Roman" w:eastAsia="宋体" w:cs="Times New Roman"/>
              <w:sz w:val="28"/>
              <w:szCs w:val="28"/>
            </w:rPr>
            <w:t>特许经营主要内容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_Toc5209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6F004D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_Toc11275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（一）收费渠道和方式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_Toc11275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E3686A8">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_Toc24865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（二）特许经营实施方式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_Toc24865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FFB80C6">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_Toc12684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（三）特许经营期限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_Toc12684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5896807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_Toc1202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（四）特许经营者的条件和选择方式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B6FE6C5">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_Toc17344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（五）特许经营服务范围</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_Toc17344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2374C7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_Toc3081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（六）政府投资支持情况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51E386C">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_Toc22019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四、</w:t>
          </w:r>
          <w:r>
            <w:rPr>
              <w:rFonts w:hint="default" w:ascii="Times New Roman" w:hAnsi="Times New Roman" w:eastAsia="宋体" w:cs="Times New Roman"/>
              <w:sz w:val="28"/>
              <w:szCs w:val="28"/>
            </w:rPr>
            <w:t>政府承诺和保障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_Toc22019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CBF7F33">
          <w:pPr>
            <w:pStyle w:val="53"/>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_Toc10485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第二部分项目可行性分析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_Toc10485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37901C8">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_Toc28993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一、</w:t>
          </w:r>
          <w:r>
            <w:rPr>
              <w:rFonts w:hint="default" w:ascii="Times New Roman" w:hAnsi="Times New Roman" w:eastAsia="宋体" w:cs="Times New Roman"/>
              <w:sz w:val="28"/>
              <w:szCs w:val="28"/>
            </w:rPr>
            <w:t>建设必要性</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_Toc28993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7EC4FF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_Toc26393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（一）项目背景</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_Toc26393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F63550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_Toc17102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（二）项目建设的必要性</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_Toc17102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3D54FD9">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_Toc15270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（三）拟建项目功能定位</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_Toc15270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102EEC28">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_Toc8739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（四）项目近期和远期目标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_Toc8739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30FD7E5">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_Toc23753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（五）产出(服务)的需求总量和结构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_Toc23753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7F355A2">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_Toc32498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二、</w:t>
          </w:r>
          <w:r>
            <w:rPr>
              <w:rFonts w:hint="default" w:ascii="Times New Roman" w:hAnsi="Times New Roman" w:eastAsia="宋体" w:cs="Times New Roman"/>
              <w:sz w:val="28"/>
              <w:szCs w:val="28"/>
            </w:rPr>
            <w:t>建设方案分析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_Toc32498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116B5E9">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_Toc3287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（一）建设条件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_Toc3287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8DB02D4">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_Toc1530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（二）主要建设内容及规模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_Toc1530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56A6044F">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_Toc29258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（三）建设主要约束条件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_Toc29258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C0DCF9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_Toc9631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（四）用地方式及选址地质条件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_Toc9631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48B35C6">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_Toc25731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（五）建设工期和主要进度节点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_Toc25731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40A3D2E">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_Toc6176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（六）建设方案</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_Toc6176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F3905B4">
          <w:pPr>
            <w:pStyle w:val="55"/>
            <w:tabs>
              <w:tab w:val="right" w:leader="dot" w:pos="8306"/>
            </w:tabs>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_Toc4095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（七）</w:t>
          </w:r>
          <w:r>
            <w:rPr>
              <w:rFonts w:hint="default" w:ascii="Times New Roman" w:hAnsi="Times New Roman" w:eastAsia="宋体" w:cs="Times New Roman"/>
              <w:sz w:val="28"/>
              <w:szCs w:val="28"/>
              <w:lang w:val="en-US" w:eastAsia="zh-CN"/>
            </w:rPr>
            <w:t>工程建设标准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_Toc4095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AFEE100">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_Toc9650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三、</w:t>
          </w:r>
          <w:r>
            <w:rPr>
              <w:rFonts w:hint="default" w:ascii="Times New Roman" w:hAnsi="Times New Roman" w:eastAsia="宋体" w:cs="Times New Roman"/>
              <w:sz w:val="28"/>
              <w:szCs w:val="28"/>
            </w:rPr>
            <w:t>要素保障条件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_Toc9650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AAA9F96">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_Toc15152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（一）用地用海条件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_Toc15152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A0E0F50">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_Toc3387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（二）资源环境承载能力、生态环境敏感区等其他支撑条件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_Toc3387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978F82D">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_Toc30586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四、</w:t>
          </w:r>
          <w:r>
            <w:rPr>
              <w:rFonts w:hint="default" w:ascii="Times New Roman" w:hAnsi="Times New Roman" w:eastAsia="宋体" w:cs="Times New Roman"/>
              <w:sz w:val="28"/>
              <w:szCs w:val="28"/>
            </w:rPr>
            <w:t>运营服务要求</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_Toc30586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298924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_Toc4044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（一）项目运营的外部条件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_Toc4044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E9A0534">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_Toc6423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（二）运营管理原则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_Toc6423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14B95C5F">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_Toc16414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（三）</w:t>
          </w:r>
          <w:r>
            <w:rPr>
              <w:rFonts w:hint="default" w:ascii="Times New Roman" w:hAnsi="Times New Roman" w:eastAsia="宋体" w:cs="Times New Roman"/>
              <w:sz w:val="28"/>
              <w:szCs w:val="28"/>
              <w:lang w:val="en-US" w:eastAsia="zh-CN"/>
            </w:rPr>
            <w:t>运营服务标准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_Toc16414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2C69DB5">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_Toc5443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（四）运营服务内容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_Toc5443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5FADE42">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_Toc15963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（五）项目公司</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_Toc15963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54EFC28">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_Toc29676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（六）运营标准和质量规范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_Toc29676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9E195C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_Toc350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（七）安全保障要求</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F1B5300">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_Toc19588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五、</w:t>
          </w:r>
          <w:r>
            <w:rPr>
              <w:rFonts w:hint="default" w:ascii="Times New Roman" w:hAnsi="Times New Roman" w:eastAsia="宋体" w:cs="Times New Roman"/>
              <w:sz w:val="28"/>
              <w:szCs w:val="28"/>
            </w:rPr>
            <w:t>主要风险识别和分析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_Toc19588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0F25BE1">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_Toc22225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（一）风险识别</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_Toc22225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59E52F61">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_Toc25124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第三部分特许经营模式可行性论证</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_Toc25124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B90F0A7">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_Toc14636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一、</w:t>
          </w:r>
          <w:r>
            <w:rPr>
              <w:rFonts w:hint="default" w:ascii="Times New Roman" w:hAnsi="Times New Roman" w:eastAsia="宋体" w:cs="Times New Roman"/>
              <w:sz w:val="28"/>
              <w:szCs w:val="28"/>
            </w:rPr>
            <w:t>项目属性分析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_Toc14636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FD31A40">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_Toc8702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二、</w:t>
          </w:r>
          <w:r>
            <w:rPr>
              <w:rFonts w:hint="default" w:ascii="Times New Roman" w:hAnsi="Times New Roman" w:eastAsia="宋体" w:cs="Times New Roman"/>
              <w:sz w:val="28"/>
              <w:szCs w:val="28"/>
            </w:rPr>
            <w:t>项目收费渠道和方式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_Toc8702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2887D57">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_Toc21238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三、</w:t>
          </w:r>
          <w:r>
            <w:rPr>
              <w:rFonts w:hint="default" w:ascii="Times New Roman" w:hAnsi="Times New Roman" w:eastAsia="宋体" w:cs="Times New Roman"/>
              <w:sz w:val="28"/>
              <w:szCs w:val="28"/>
            </w:rPr>
            <w:t>项目盈利能力分析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_Toc21238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482331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_Toc7735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四、</w:t>
          </w:r>
          <w:r>
            <w:rPr>
              <w:rFonts w:hint="default" w:ascii="Times New Roman" w:hAnsi="Times New Roman" w:eastAsia="宋体" w:cs="Times New Roman"/>
              <w:sz w:val="28"/>
              <w:szCs w:val="28"/>
            </w:rPr>
            <w:t>比较优势分析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_Toc7735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A41667D">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_Toc172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五、</w:t>
          </w:r>
          <w:r>
            <w:rPr>
              <w:rFonts w:hint="default" w:ascii="Times New Roman" w:hAnsi="Times New Roman" w:eastAsia="宋体" w:cs="Times New Roman"/>
              <w:sz w:val="28"/>
              <w:szCs w:val="28"/>
            </w:rPr>
            <w:t>参与意愿分析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C291D85">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_Toc12434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六、</w:t>
          </w:r>
          <w:r>
            <w:rPr>
              <w:rFonts w:hint="default" w:ascii="Times New Roman" w:hAnsi="Times New Roman" w:eastAsia="宋体" w:cs="Times New Roman"/>
              <w:sz w:val="28"/>
              <w:szCs w:val="28"/>
            </w:rPr>
            <w:t>合法合规性分析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_Toc12434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46A43A0">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_Toc28474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七、</w:t>
          </w:r>
          <w:r>
            <w:rPr>
              <w:rFonts w:hint="default" w:ascii="Times New Roman" w:hAnsi="Times New Roman" w:eastAsia="宋体" w:cs="Times New Roman"/>
              <w:sz w:val="28"/>
              <w:szCs w:val="28"/>
            </w:rPr>
            <w:t>特许经营风险分析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_Toc28474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FC4D585">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_Toc2981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第四部分特许经营主要内容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AEC338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_Toc8942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一、</w:t>
          </w:r>
          <w:r>
            <w:rPr>
              <w:rFonts w:hint="default" w:ascii="Times New Roman" w:hAnsi="Times New Roman" w:eastAsia="宋体" w:cs="Times New Roman"/>
              <w:sz w:val="28"/>
              <w:szCs w:val="28"/>
            </w:rPr>
            <w:t>特许经营范围</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_Toc8942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208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D854B1A">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_Toc21321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二、</w:t>
          </w:r>
          <w:r>
            <w:rPr>
              <w:rFonts w:hint="default" w:ascii="Times New Roman" w:hAnsi="Times New Roman" w:eastAsia="宋体" w:cs="Times New Roman"/>
              <w:sz w:val="28"/>
              <w:szCs w:val="28"/>
            </w:rPr>
            <w:t>实施方式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_Toc21321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F302897">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_Toc10784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三、</w:t>
          </w:r>
          <w:r>
            <w:rPr>
              <w:rFonts w:hint="default" w:ascii="Times New Roman" w:hAnsi="Times New Roman" w:eastAsia="宋体" w:cs="Times New Roman"/>
              <w:sz w:val="28"/>
              <w:szCs w:val="28"/>
            </w:rPr>
            <w:t>特许经营期限和资产权属</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_Toc10784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754D19B">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_Toc32052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四、</w:t>
          </w:r>
          <w:r>
            <w:rPr>
              <w:rFonts w:hint="default" w:ascii="Times New Roman" w:hAnsi="Times New Roman" w:eastAsia="宋体" w:cs="Times New Roman"/>
              <w:sz w:val="28"/>
              <w:szCs w:val="28"/>
            </w:rPr>
            <w:t>特许经营主要原则和合作边界</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_Toc32052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214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3503DF2C">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_Toc10465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五、</w:t>
          </w:r>
          <w:r>
            <w:rPr>
              <w:rFonts w:hint="default" w:ascii="Times New Roman" w:hAnsi="Times New Roman" w:eastAsia="宋体" w:cs="Times New Roman"/>
              <w:sz w:val="28"/>
              <w:szCs w:val="28"/>
            </w:rPr>
            <w:t>特许经营者选择</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_Toc10465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227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1C25FDE">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_Toc4242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六、</w:t>
          </w:r>
          <w:r>
            <w:rPr>
              <w:rFonts w:hint="default" w:ascii="Times New Roman" w:hAnsi="Times New Roman" w:eastAsia="宋体" w:cs="Times New Roman"/>
              <w:sz w:val="28"/>
              <w:szCs w:val="28"/>
            </w:rPr>
            <w:t>交易结构与投融资结构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_Toc4242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62259DF6">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_Toc19714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七、</w:t>
          </w:r>
          <w:r>
            <w:rPr>
              <w:rFonts w:hint="default" w:ascii="Times New Roman" w:hAnsi="Times New Roman" w:eastAsia="宋体" w:cs="Times New Roman"/>
              <w:sz w:val="28"/>
              <w:szCs w:val="28"/>
            </w:rPr>
            <w:t>监督管理和运营评价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_Toc19714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538C694">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_Toc25111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八、</w:t>
          </w:r>
          <w:r>
            <w:rPr>
              <w:rFonts w:hint="default" w:ascii="Times New Roman" w:hAnsi="Times New Roman" w:eastAsia="宋体" w:cs="Times New Roman"/>
              <w:sz w:val="28"/>
              <w:szCs w:val="28"/>
            </w:rPr>
            <w:t>风险管控</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_Toc25111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D1D6F86">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_Toc5344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九、</w:t>
          </w:r>
          <w:r>
            <w:rPr>
              <w:rFonts w:hint="default" w:ascii="Times New Roman" w:hAnsi="Times New Roman" w:eastAsia="宋体" w:cs="Times New Roman"/>
              <w:sz w:val="28"/>
              <w:szCs w:val="28"/>
            </w:rPr>
            <w:t>政府承诺和保障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_Toc5344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4694A4F0">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_Toc29402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十、</w:t>
          </w:r>
          <w:r>
            <w:rPr>
              <w:rFonts w:hint="default" w:ascii="Times New Roman" w:hAnsi="Times New Roman" w:eastAsia="宋体" w:cs="Times New Roman"/>
              <w:sz w:val="28"/>
              <w:szCs w:val="28"/>
            </w:rPr>
            <w:t>调整、变更等其他要求</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_Toc29402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56E07639">
          <w:pPr>
            <w:pStyle w:val="55"/>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_Toc20634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第五部分结论和建议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_Toc20634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09B762B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_Toc72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一、</w:t>
          </w:r>
          <w:r>
            <w:rPr>
              <w:rFonts w:hint="default" w:ascii="Times New Roman" w:hAnsi="Times New Roman" w:eastAsia="宋体" w:cs="Times New Roman"/>
              <w:sz w:val="28"/>
              <w:szCs w:val="28"/>
            </w:rPr>
            <w:t>主要研究结论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7A125663">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_Toc18082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二、</w:t>
          </w:r>
          <w:r>
            <w:rPr>
              <w:rFonts w:hint="default" w:ascii="Times New Roman" w:hAnsi="Times New Roman" w:eastAsia="宋体" w:cs="Times New Roman"/>
              <w:sz w:val="28"/>
              <w:szCs w:val="28"/>
            </w:rPr>
            <w:t>问题与建议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_Toc18082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6B08539">
          <w:pPr>
            <w:pStyle w:val="54"/>
            <w:tabs>
              <w:tab w:val="right" w:leader="dot" w:pos="8306"/>
            </w:tabs>
            <w:rPr>
              <w:rFonts w:hint="default" w:ascii="Times New Roman" w:hAnsi="Times New Roman" w:eastAsia="宋体" w:cs="Times New Roman"/>
              <w:sz w:val="28"/>
              <w:szCs w:val="28"/>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begin"/>
          </w:r>
          <w:r>
            <w:rPr>
              <w:rFonts w:hint="default" w:ascii="Times New Roman" w:hAnsi="Times New Roman" w:eastAsia="宋体" w:cs="Times New Roman"/>
              <w:bCs/>
              <w:sz w:val="28"/>
              <w:szCs w:val="28"/>
            </w:rPr>
            <w:instrText xml:space="preserve"> HYPERLINK \l _Toc8917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sz w:val="28"/>
              <w:szCs w:val="28"/>
              <w:vertAlign w:val="baseline"/>
              <w14:ligatures w14:val="none"/>
              <w14:numForm w14:val="default"/>
              <w14:numSpacing w14:val="default"/>
            </w:rPr>
            <w:t>三、</w:t>
          </w:r>
          <w:r>
            <w:rPr>
              <w:rFonts w:hint="default" w:ascii="Times New Roman" w:hAnsi="Times New Roman" w:eastAsia="宋体" w:cs="Times New Roman"/>
              <w:sz w:val="28"/>
              <w:szCs w:val="28"/>
            </w:rPr>
            <w:t>附表、附图和附件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301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p w14:paraId="2B229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heme="minorBidi"/>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8"/>
              <w:szCs w:val="28"/>
              <w14:textFill>
                <w14:solidFill>
                  <w14:schemeClr w14:val="tx1"/>
                </w14:solidFill>
              </w14:textFill>
            </w:rPr>
            <w:fldChar w:fldCharType="end"/>
          </w:r>
        </w:p>
      </w:sdtContent>
    </w:sdt>
    <w:p w14:paraId="30B7F911">
      <w:pPr>
        <w:pStyle w:val="2"/>
      </w:pPr>
    </w:p>
    <w:p w14:paraId="3876B2A7">
      <w:pPr>
        <w:pStyle w:val="3"/>
        <w:numPr>
          <w:ilvl w:val="0"/>
          <w:numId w:val="0"/>
        </w:numPr>
        <w:rPr>
          <w:rFonts w:hint="eastAsia"/>
          <w:color w:val="000000" w:themeColor="text1"/>
          <w14:textFill>
            <w14:solidFill>
              <w14:schemeClr w14:val="tx1"/>
            </w14:solidFill>
          </w14:textFill>
        </w:rPr>
        <w:sectPr>
          <w:headerReference r:id="rId6" w:type="first"/>
          <w:footerReference r:id="rId8" w:type="first"/>
          <w:headerReference r:id="rId5" w:type="default"/>
          <w:footerReference r:id="rId7" w:type="default"/>
          <w:pgSz w:w="11906" w:h="16838"/>
          <w:pgMar w:top="1440" w:right="1800" w:bottom="1440" w:left="1800" w:header="851" w:footer="992" w:gutter="0"/>
          <w:pgNumType w:fmt="upperRoman" w:start="1"/>
          <w:cols w:space="425" w:num="1"/>
          <w:titlePg/>
          <w:docGrid w:type="lines" w:linePitch="312" w:charSpace="0"/>
        </w:sectPr>
      </w:pPr>
      <w:bookmarkStart w:id="21" w:name="_Toc16050"/>
    </w:p>
    <w:p w14:paraId="63459510">
      <w:pPr>
        <w:pStyle w:val="3"/>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第一部分概述</w:t>
      </w:r>
      <w:bookmarkEnd w:id="21"/>
    </w:p>
    <w:p w14:paraId="7F74643F">
      <w:pPr>
        <w:pStyle w:val="5"/>
        <w:outlineLvl w:val="1"/>
        <w:rPr>
          <w:color w:val="000000" w:themeColor="text1"/>
          <w14:textFill>
            <w14:solidFill>
              <w14:schemeClr w14:val="tx1"/>
            </w14:solidFill>
          </w14:textFill>
        </w:rPr>
      </w:pPr>
      <w:bookmarkStart w:id="22" w:name="_Toc4446"/>
      <w:bookmarkStart w:id="23" w:name="_Toc13968"/>
      <w:r>
        <w:rPr>
          <w:rFonts w:hint="eastAsia"/>
          <w:color w:val="000000" w:themeColor="text1"/>
          <w14:textFill>
            <w14:solidFill>
              <w14:schemeClr w14:val="tx1"/>
            </w14:solidFill>
          </w14:textFill>
        </w:rPr>
        <w:t>项目概况</w:t>
      </w:r>
      <w:bookmarkEnd w:id="22"/>
      <w:bookmarkEnd w:id="23"/>
    </w:p>
    <w:p w14:paraId="2F36B222">
      <w:pPr>
        <w:pStyle w:val="6"/>
        <w:spacing w:before="156" w:after="156"/>
        <w:outlineLvl w:val="2"/>
        <w:rPr>
          <w:color w:val="000000" w:themeColor="text1"/>
          <w14:textFill>
            <w14:solidFill>
              <w14:schemeClr w14:val="tx1"/>
            </w14:solidFill>
          </w14:textFill>
        </w:rPr>
      </w:pPr>
      <w:bookmarkStart w:id="24" w:name="_Toc10579"/>
      <w:bookmarkStart w:id="25" w:name="_Toc59113287"/>
      <w:bookmarkStart w:id="26" w:name="_Toc90954944"/>
      <w:bookmarkStart w:id="27" w:name="_Toc22331"/>
      <w:bookmarkStart w:id="28" w:name="_Toc24104"/>
      <w:bookmarkStart w:id="29" w:name="_Toc31744"/>
      <w:bookmarkStart w:id="30" w:name="_Ref18101"/>
      <w:bookmarkStart w:id="31" w:name="_Toc9871"/>
      <w:bookmarkStart w:id="32" w:name="_Toc21051"/>
      <w:bookmarkStart w:id="33" w:name="_Toc24019"/>
      <w:r>
        <w:rPr>
          <w:color w:val="000000" w:themeColor="text1"/>
          <w14:textFill>
            <w14:solidFill>
              <w14:schemeClr w14:val="tx1"/>
            </w14:solidFill>
          </w14:textFill>
        </w:rPr>
        <w:t>项目名称</w:t>
      </w:r>
      <w:bookmarkEnd w:id="24"/>
      <w:bookmarkEnd w:id="25"/>
      <w:bookmarkEnd w:id="26"/>
      <w:bookmarkEnd w:id="27"/>
      <w:bookmarkEnd w:id="28"/>
      <w:bookmarkEnd w:id="29"/>
      <w:bookmarkEnd w:id="30"/>
      <w:bookmarkEnd w:id="31"/>
      <w:bookmarkEnd w:id="32"/>
      <w:bookmarkEnd w:id="33"/>
    </w:p>
    <w:p w14:paraId="605C95E5">
      <w:pPr>
        <w:pStyle w:val="34"/>
        <w:adjustRightInd w:val="0"/>
        <w:snapToGrid w:val="0"/>
        <w:spacing w:before="156" w:after="156"/>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包头市生活垃圾焚烧发电项目，以下简称“本项目”或“项目”。</w:t>
      </w:r>
    </w:p>
    <w:p w14:paraId="5AEF6056">
      <w:pPr>
        <w:pStyle w:val="6"/>
        <w:spacing w:before="156" w:after="156"/>
        <w:outlineLvl w:val="2"/>
        <w:rPr>
          <w:color w:val="000000" w:themeColor="text1"/>
          <w14:textFill>
            <w14:solidFill>
              <w14:schemeClr w14:val="tx1"/>
            </w14:solidFill>
          </w14:textFill>
        </w:rPr>
      </w:pPr>
      <w:bookmarkStart w:id="34" w:name="_Toc13484"/>
      <w:bookmarkStart w:id="35" w:name="_Toc22681"/>
      <w:r>
        <w:rPr>
          <w:rFonts w:hint="eastAsia"/>
          <w:color w:val="000000" w:themeColor="text1"/>
          <w14:textFill>
            <w14:solidFill>
              <w14:schemeClr w14:val="tx1"/>
            </w14:solidFill>
          </w14:textFill>
        </w:rPr>
        <w:t>建设依据</w:t>
      </w:r>
      <w:bookmarkEnd w:id="34"/>
      <w:bookmarkEnd w:id="35"/>
    </w:p>
    <w:p w14:paraId="2C4F9D88">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政策文件要求</w:t>
      </w:r>
    </w:p>
    <w:p w14:paraId="055B3F8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包头市拥有三座生活垃圾无害化处置项目，其中两座为生活垃圾填埋场，一座为生活垃圾焚烧发电厂。近年来由于城市化进程的不断推进以及人口的增加，垃圾产生量越来越大，填埋规模将逐渐接近设计能力，现有的垃圾处理设施已经无法满足城市未来发展规划。且卫生填埋仍存在不容忽视的问题，因需要占用大量土地资源，资源化效益较差，因此不宜再新建垃圾填埋场。</w:t>
      </w:r>
    </w:p>
    <w:p w14:paraId="18A0DEB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十四五”城镇生活垃圾分类和处理设施发展规划指出：“中西部地区无害化处理能力依旧不足，西部及东北部分地区建制镇生活垃圾无害化处理率低于30%，远低于“十三五”相关规划提出的70%目标要求”，垃圾焚烧处理能力：到2025年底，全国城镇生活垃圾焚烧处理能力达到80万吨/日左右，城市生活垃圾焚烧处理能力占比65%左右，加强垃圾焚烧设施规划布局。加强与国土空间规划和生态环境保护、环境卫生设施、集中供热供暖等专项规划的衔接，统筹规划生活垃圾焚烧处理设施，依法依规做好生活垃圾焚烧项目选址工作，鼓励利用既有生活垃圾处理设施用地建设生活垃圾焚烧项目，持续推进焚烧处理能力建设。生活垃圾日清运量达到建设规模化垃圾焚烧处理设施条件的地区，可适度超前建设与生活垃圾清运量增长相适应的焚烧处理设施。不具备建设规模化垃圾焚烧处理设施条件的地区，可通过跨区域共建共享方式建设焚烧处理设施。城市建成区生活垃圾日清运量超过300吨的地区，加快建设焚烧处理设施”。</w:t>
      </w:r>
    </w:p>
    <w:p w14:paraId="6E8C963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《中华人民共和国固体废物污染环境防治法》第四十二条明确规定，“对城市生活垃圾应当及时清运，逐步做到分类收集和运输，并积极开展合理利用和实施无害化处置”。</w:t>
      </w:r>
    </w:p>
    <w:p w14:paraId="226C0C0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内蒙古自治区党委关于制定国民经济和社会发展第十四个五年规划和二〇三五年远景目标的建议》提出：深入打好污染防治攻坚战。保持攻坚力度和势头，深化污染防治行动，持续改善环境质量。加大重点区域土壤和地下水污染防治力度，以无害化、减量化、资源化为目标强化固体废物污染防治，推进“无废城市”建设。</w:t>
      </w:r>
    </w:p>
    <w:p w14:paraId="26175EF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国民经济和社会发展第十四个五年规划和二〇三五年远景目标的建议》提出：强化资源高效利用。健全资源节约集约循环利用政策体系，严格执行能源和水资源消耗、建设用地等总量和强度双控制度。推行垃圾分类和减量化资源化。</w:t>
      </w:r>
    </w:p>
    <w:p w14:paraId="69A2D01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城镇环境卫生“十四五”规划》提出：要考虑垃圾分类的开展，合理设置生活垃圾收运体系。建立分类投放、分类收集、分类运输、分类处理的垃圾处理系统。完善再生资源回收体系。规划以资源化利用和焚烧减量化为主，填埋场仅用于残渣处置与应急保障的生活垃圾集中处理的新格局。</w:t>
      </w:r>
    </w:p>
    <w:p w14:paraId="2616028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同时全面推进生活垃圾焚烧设施建设，加强垃圾焚烧设施规划布局。加强与国土空间规划和生态环境保护、环境卫生设施、集中供热供暖等专项规划的衔接，统筹规划生活垃圾焚烧处理设施，依法依规做好生活垃圾焚烧项目选址工作，鼓励利用既有生活垃圾处理设施用地建设生活垃圾焚烧项目。</w:t>
      </w:r>
    </w:p>
    <w:p w14:paraId="356CF99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持续推进焚烧处理能力建设。生活垃圾日清运量达到建设规模化垃圾焚烧处理设施条件的地区，可适度超前建设与生活垃圾清运量增长相适应的焚烧处理设施。不具备建设规模化垃圾焚烧处理设施条件的地区，可通过跨区域共建共享方式建设焚烧处理设施。城市建成区生活垃圾日清运量超过300吨的地区，加快建设焚烧处理设施。</w:t>
      </w:r>
    </w:p>
    <w:p w14:paraId="30B1222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展既有焚烧设施提标改造。全面排查评估现有焚烧处理设施运行状况和污染物排放情况，对于不能稳定达标排放的设施，要加快推进设施升级改造。鼓励有条件的地区，按照高质量发展要求优化焚烧处理技术，完善污染物处理配套设施，逐步提高设施运行的环保水平。</w:t>
      </w:r>
    </w:p>
    <w:p w14:paraId="1678006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了尽快加大处理垃圾的能力，提高处理垃圾的技术水平，逐步实现垃圾无害化、减量化、资源化处理的目标，建设垃圾焚烧发电设施是现阶段垃圾处理的发展方向，也符合国家及地方关于生活垃圾处理及污染防治技术政策。</w:t>
      </w:r>
    </w:p>
    <w:p w14:paraId="14B3EE72">
      <w:pPr>
        <w:pStyle w:val="7"/>
        <w:ind w:firstLine="562"/>
        <w:rPr>
          <w:color w:val="000000" w:themeColor="text1"/>
          <w14:textFill>
            <w14:solidFill>
              <w14:schemeClr w14:val="tx1"/>
            </w14:solidFill>
          </w14:textFill>
        </w:rPr>
      </w:pPr>
      <w:bookmarkStart w:id="36" w:name="_Toc31224"/>
      <w:r>
        <w:rPr>
          <w:rFonts w:hint="eastAsia"/>
          <w:color w:val="000000" w:themeColor="text1"/>
          <w14:textFill>
            <w14:solidFill>
              <w14:schemeClr w14:val="tx1"/>
            </w14:solidFill>
          </w14:textFill>
        </w:rPr>
        <w:t>法律法规及政策依据</w:t>
      </w:r>
    </w:p>
    <w:p w14:paraId="55CF5764">
      <w:pPr>
        <w:pStyle w:val="8"/>
        <w:rPr>
          <w:color w:val="000000" w:themeColor="text1"/>
          <w14:textFill>
            <w14:solidFill>
              <w14:schemeClr w14:val="tx1"/>
            </w14:solidFill>
          </w14:textFill>
        </w:rPr>
      </w:pPr>
      <w:bookmarkStart w:id="37" w:name="_Toc2751"/>
      <w:bookmarkStart w:id="38" w:name="_Toc59113276"/>
      <w:bookmarkStart w:id="39" w:name="_Toc26940"/>
      <w:bookmarkStart w:id="40" w:name="_Toc19229"/>
      <w:r>
        <w:rPr>
          <w:color w:val="000000" w:themeColor="text1"/>
          <w14:textFill>
            <w14:solidFill>
              <w14:schemeClr w14:val="tx1"/>
            </w14:solidFill>
          </w14:textFill>
        </w:rPr>
        <w:t>国家相关法律法规</w:t>
      </w:r>
      <w:bookmarkEnd w:id="37"/>
      <w:bookmarkEnd w:id="38"/>
      <w:bookmarkEnd w:id="39"/>
      <w:bookmarkEnd w:id="40"/>
    </w:p>
    <w:p w14:paraId="0E587837">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《中华人民共和国可再生能源法（2009年修正）》；</w:t>
      </w:r>
    </w:p>
    <w:p w14:paraId="73088422">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《中华人民共和国政府采购法（2</w:t>
      </w:r>
      <w:r>
        <w:rPr>
          <w:color w:val="000000" w:themeColor="text1"/>
          <w14:textFill>
            <w14:solidFill>
              <w14:schemeClr w14:val="tx1"/>
            </w14:solidFill>
          </w14:textFill>
        </w:rPr>
        <w:t>014</w:t>
      </w:r>
      <w:r>
        <w:rPr>
          <w:rFonts w:hint="eastAsia"/>
          <w:color w:val="000000" w:themeColor="text1"/>
          <w14:textFill>
            <w14:solidFill>
              <w14:schemeClr w14:val="tx1"/>
            </w14:solidFill>
          </w14:textFill>
        </w:rPr>
        <w:t>年修正）》；</w:t>
      </w:r>
    </w:p>
    <w:p w14:paraId="28C2085C">
      <w:pPr>
        <w:numPr>
          <w:ilvl w:val="0"/>
          <w:numId w:val="4"/>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《中华人民共和国政府采购法实施条例</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015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6C77C93">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《中华人民共和国环境保护法（2014年修</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w:t>
      </w:r>
    </w:p>
    <w:p w14:paraId="726548E8">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《中华人民共和国招标投标法（2</w:t>
      </w:r>
      <w:r>
        <w:rPr>
          <w:color w:val="000000" w:themeColor="text1"/>
          <w14:textFill>
            <w14:solidFill>
              <w14:schemeClr w14:val="tx1"/>
            </w14:solidFill>
          </w14:textFill>
        </w:rPr>
        <w:t>017</w:t>
      </w:r>
      <w:r>
        <w:rPr>
          <w:rFonts w:hint="eastAsia"/>
          <w:color w:val="000000" w:themeColor="text1"/>
          <w14:textFill>
            <w14:solidFill>
              <w14:schemeClr w14:val="tx1"/>
            </w14:solidFill>
          </w14:textFill>
        </w:rPr>
        <w:t>年修正）》；</w:t>
      </w:r>
    </w:p>
    <w:p w14:paraId="32AAE42B">
      <w:pPr>
        <w:numPr>
          <w:ilvl w:val="0"/>
          <w:numId w:val="4"/>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《中华人民共和国公司法</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年修</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14:paraId="61001112">
      <w:pPr>
        <w:numPr>
          <w:ilvl w:val="0"/>
          <w:numId w:val="4"/>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《中华人民共和国预算法</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年修正）</w:t>
      </w:r>
      <w:r>
        <w:rPr>
          <w:color w:val="000000" w:themeColor="text1"/>
          <w14:textFill>
            <w14:solidFill>
              <w14:schemeClr w14:val="tx1"/>
            </w14:solidFill>
          </w14:textFill>
        </w:rPr>
        <w:t>》；</w:t>
      </w:r>
    </w:p>
    <w:p w14:paraId="5A9BDC5E">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《中华人民共和国企业所得税法（2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年修正）》；</w:t>
      </w:r>
    </w:p>
    <w:p w14:paraId="2861F384">
      <w:pPr>
        <w:numPr>
          <w:ilvl w:val="0"/>
          <w:numId w:val="4"/>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《中华人民共和国个人所得税法</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年修正）</w:t>
      </w:r>
      <w:r>
        <w:rPr>
          <w:color w:val="000000" w:themeColor="text1"/>
          <w14:textFill>
            <w14:solidFill>
              <w14:schemeClr w14:val="tx1"/>
            </w14:solidFill>
          </w14:textFill>
        </w:rPr>
        <w:t>》；</w:t>
      </w:r>
    </w:p>
    <w:p w14:paraId="50C7E1F9">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《中华人民共和国大气污染防治法（2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年修正）》；</w:t>
      </w:r>
    </w:p>
    <w:p w14:paraId="1F34F130">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《中华人民共和国水污染防治法（2</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7年修正）》；</w:t>
      </w:r>
    </w:p>
    <w:p w14:paraId="4D158F36">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《中华人民共和国招标投标法实施条例（2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年修</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w:t>
      </w:r>
    </w:p>
    <w:p w14:paraId="4F23DD1D">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《中华人民共和国企业所得税法实施条例（2019年修</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w:t>
      </w:r>
    </w:p>
    <w:p w14:paraId="2DE67ADA">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《政府投资条例（2019年）》；</w:t>
      </w:r>
    </w:p>
    <w:p w14:paraId="7E03C473">
      <w:pPr>
        <w:numPr>
          <w:ilvl w:val="0"/>
          <w:numId w:val="4"/>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《中华人民共和国固体废物污染环境防治法（2020年修</w:t>
      </w:r>
      <w:r>
        <w:rPr>
          <w:rFonts w:hint="eastAsia"/>
          <w:color w:val="000000" w:themeColor="text1"/>
          <w:lang w:val="en-US" w:eastAsia="zh-CN"/>
          <w14:textFill>
            <w14:solidFill>
              <w14:schemeClr w14:val="tx1"/>
            </w14:solidFill>
          </w14:textFill>
        </w:rPr>
        <w:t>订</w:t>
      </w:r>
      <w:r>
        <w:rPr>
          <w:rFonts w:hint="eastAsia"/>
          <w:color w:val="000000" w:themeColor="text1"/>
          <w14:textFill>
            <w14:solidFill>
              <w14:schemeClr w14:val="tx1"/>
            </w14:solidFill>
          </w14:textFill>
        </w:rPr>
        <w:t>）》。</w:t>
      </w:r>
    </w:p>
    <w:p w14:paraId="71946603">
      <w:pPr>
        <w:pStyle w:val="8"/>
        <w:rPr>
          <w:color w:val="000000" w:themeColor="text1"/>
          <w14:textFill>
            <w14:solidFill>
              <w14:schemeClr w14:val="tx1"/>
            </w14:solidFill>
          </w14:textFill>
        </w:rPr>
      </w:pPr>
      <w:bookmarkStart w:id="41" w:name="_Toc22281"/>
      <w:bookmarkStart w:id="42" w:name="_Toc59113277"/>
      <w:bookmarkStart w:id="43" w:name="_Toc30343"/>
      <w:bookmarkStart w:id="44" w:name="_Toc11713"/>
      <w:r>
        <w:rPr>
          <w:rFonts w:hint="eastAsia"/>
          <w:color w:val="000000" w:themeColor="text1"/>
          <w14:textFill>
            <w14:solidFill>
              <w14:schemeClr w14:val="tx1"/>
            </w14:solidFill>
          </w14:textFill>
        </w:rPr>
        <w:t>国家</w:t>
      </w:r>
      <w:r>
        <w:rPr>
          <w:color w:val="000000" w:themeColor="text1"/>
          <w14:textFill>
            <w14:solidFill>
              <w14:schemeClr w14:val="tx1"/>
            </w14:solidFill>
          </w14:textFill>
        </w:rPr>
        <w:t>相关政策文件</w:t>
      </w:r>
      <w:bookmarkEnd w:id="41"/>
      <w:bookmarkEnd w:id="42"/>
      <w:bookmarkEnd w:id="43"/>
      <w:bookmarkEnd w:id="44"/>
    </w:p>
    <w:p w14:paraId="651A7334">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国家</w:t>
      </w:r>
      <w:r>
        <w:rPr>
          <w:rFonts w:hint="eastAsia"/>
          <w:color w:val="000000" w:themeColor="text1"/>
          <w:lang w:val="en-US" w:eastAsia="zh-CN"/>
          <w14:textFill>
            <w14:solidFill>
              <w14:schemeClr w14:val="tx1"/>
            </w14:solidFill>
          </w14:textFill>
        </w:rPr>
        <w:t>发展计划委员会</w:t>
      </w:r>
      <w:r>
        <w:rPr>
          <w:rFonts w:hint="eastAsia"/>
          <w:color w:val="000000" w:themeColor="text1"/>
          <w14:textFill>
            <w14:solidFill>
              <w14:schemeClr w14:val="tx1"/>
            </w14:solidFill>
          </w14:textFill>
        </w:rPr>
        <w:t>、财政部、建设部、</w:t>
      </w:r>
      <w:r>
        <w:rPr>
          <w:rFonts w:hint="eastAsia"/>
          <w:color w:val="000000" w:themeColor="text1"/>
          <w:lang w:val="en-US" w:eastAsia="zh-CN"/>
          <w14:textFill>
            <w14:solidFill>
              <w14:schemeClr w14:val="tx1"/>
            </w14:solidFill>
          </w14:textFill>
        </w:rPr>
        <w:t>国家环境保护总局</w:t>
      </w:r>
      <w:r>
        <w:rPr>
          <w:rFonts w:hint="eastAsia"/>
          <w:color w:val="000000" w:themeColor="text1"/>
          <w14:textFill>
            <w14:solidFill>
              <w14:schemeClr w14:val="tx1"/>
            </w14:solidFill>
          </w14:textFill>
        </w:rPr>
        <w:t>《关于实行城市生活垃圾处理收费制度促进垃圾处理产业化的通知》（计价格〔2002〕872号）；</w:t>
      </w:r>
    </w:p>
    <w:p w14:paraId="42C2844E">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《国务院关于加强城市基础设施建设的意见》（国发〔2013〕36号）；</w:t>
      </w:r>
    </w:p>
    <w:p w14:paraId="3B5A8C30">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《国务院关于加快发展节能环保产业的意见》（国发〔2013〕30号）；</w:t>
      </w:r>
    </w:p>
    <w:p w14:paraId="1BC0DDD7">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《国务院关于加强地方政府性债务管理的意见》（国发〔2014〕43号）；</w:t>
      </w:r>
    </w:p>
    <w:p w14:paraId="510B30C2">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《国务院关于创新重点领域投融资机制鼓励社会投资的指导意见》（国发〔2014〕60号）；</w:t>
      </w:r>
    </w:p>
    <w:p w14:paraId="355A7066">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《中共中央、国务院关于加快推进生态文明建设的意见》（中发〔2015〕12号）；</w:t>
      </w:r>
    </w:p>
    <w:p w14:paraId="6996BE70">
      <w:pPr>
        <w:numPr>
          <w:ilvl w:val="0"/>
          <w:numId w:val="5"/>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《国务院关于调整和完善固定资产投资项目资本金制度的通知》（国发〔2015〕51号）</w:t>
      </w:r>
      <w:r>
        <w:rPr>
          <w:rFonts w:hint="eastAsia"/>
          <w:color w:val="000000" w:themeColor="text1"/>
          <w14:textFill>
            <w14:solidFill>
              <w14:schemeClr w14:val="tx1"/>
            </w14:solidFill>
          </w14:textFill>
        </w:rPr>
        <w:t>；</w:t>
      </w:r>
    </w:p>
    <w:p w14:paraId="5714B02B">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住房城乡建设部等部门《关于进一步加强城市生活垃圾焚烧处理工作的意见》（建城〔2016〕227号）；</w:t>
      </w:r>
    </w:p>
    <w:p w14:paraId="4FB74786">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《国务院关于深入推进新型城镇化建设的若干意见》（国发〔2016〕8号）；</w:t>
      </w:r>
    </w:p>
    <w:p w14:paraId="453FBAB8">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《关于进一步鼓励和引导民间资本进入城市供水、燃气、供热、污水和垃圾处理行业的意见》（建城〔2016〕208号）；</w:t>
      </w:r>
    </w:p>
    <w:p w14:paraId="38EAF2EB">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《传统基础设施领域实施政府和社会资本合作项目工作导则》（发改投资〔2016〕2231号）；</w:t>
      </w:r>
    </w:p>
    <w:p w14:paraId="2876058D">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《中共中央、国务院关于进一步加强城市规划建设管理工作的若干意见》（2016年2月6日）；</w:t>
      </w:r>
    </w:p>
    <w:p w14:paraId="52BFC671">
      <w:pPr>
        <w:numPr>
          <w:ilvl w:val="0"/>
          <w:numId w:val="5"/>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《关于2017年深化经济体制改革重点工作的意见》（国发〔2017〕27号）</w:t>
      </w:r>
      <w:r>
        <w:rPr>
          <w:rFonts w:hint="eastAsia"/>
          <w:color w:val="000000" w:themeColor="text1"/>
          <w14:textFill>
            <w14:solidFill>
              <w14:schemeClr w14:val="tx1"/>
            </w14:solidFill>
          </w14:textFill>
        </w:rPr>
        <w:t>；</w:t>
      </w:r>
    </w:p>
    <w:p w14:paraId="222CBD30">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《关于进一步规范地方政府举债融资行为的通知》（财预〔2017〕50号）；</w:t>
      </w:r>
    </w:p>
    <w:p w14:paraId="29628FA3">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《国务院办公厅关于保持基础设施领域补短板力度的指导意见》（国办发〔2018〕101号）；</w:t>
      </w:r>
    </w:p>
    <w:p w14:paraId="452D38B5">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《国务院关于加强固定资产投资项目资本金管理的通知》（国发〔2019〕26号）；</w:t>
      </w:r>
    </w:p>
    <w:p w14:paraId="72E53F15">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《加大力度推动社会领域公共服务补短板强弱项提质量促进形成强大国内市场的行动方案》（发改社会〔2019〕0160号）；</w:t>
      </w:r>
    </w:p>
    <w:p w14:paraId="5FB205D5">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《城镇生活垃圾分类和处理设施补短板强弱项实施方案》（发改环资〔2020〕1257号）；</w:t>
      </w:r>
    </w:p>
    <w:p w14:paraId="4B96AA4C">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《国务院关于印发2030年前碳达峰行动方案的通知》（国发〔2021〕23号）；</w:t>
      </w:r>
    </w:p>
    <w:p w14:paraId="6E10115B">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《中共中央国务院关于深入打好污染防治攻坚战的意见》（2021年发布）；</w:t>
      </w:r>
    </w:p>
    <w:p w14:paraId="7976B18A">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《关于规范实施政府和社会资本合作新机制的指导意见》的通知（国办函〔2023〕115号）；</w:t>
      </w:r>
    </w:p>
    <w:p w14:paraId="5985E11C">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《基础设施和公用事业特许经营管理办法》（2024年）；</w:t>
      </w:r>
    </w:p>
    <w:p w14:paraId="0019D142">
      <w:pPr>
        <w:numPr>
          <w:ilvl w:val="0"/>
          <w:numId w:val="5"/>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《政府和社会资本金合作项目特许经营方案编写大纲》2024年试行版</w:t>
      </w:r>
      <w:r>
        <w:rPr>
          <w:rFonts w:hint="eastAsia"/>
          <w:color w:val="000000" w:themeColor="text1"/>
          <w:lang w:eastAsia="zh-CN"/>
          <w14:textFill>
            <w14:solidFill>
              <w14:schemeClr w14:val="tx1"/>
            </w14:solidFill>
          </w14:textFill>
        </w:rPr>
        <w:t>；</w:t>
      </w:r>
    </w:p>
    <w:p w14:paraId="0D412E22">
      <w:pPr>
        <w:numPr>
          <w:ilvl w:val="0"/>
          <w:numId w:val="5"/>
        </w:numPr>
        <w:ind w:firstLine="560" w:firstLineChars="20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国家发展改革委办公厅关于建立全国政府和社会资本合作项目信息系统的通知</w:t>
      </w:r>
      <w:r>
        <w:rPr>
          <w:rFonts w:hint="eastAsia"/>
          <w:color w:val="000000" w:themeColor="text1"/>
          <w:lang w:val="en-US" w:eastAsia="zh-CN"/>
          <w14:textFill>
            <w14:solidFill>
              <w14:schemeClr w14:val="tx1"/>
            </w14:solidFill>
          </w14:textFill>
        </w:rPr>
        <w:t>》（发改办投资〔2024〕151号）；</w:t>
      </w:r>
    </w:p>
    <w:p w14:paraId="1B02AE09">
      <w:pPr>
        <w:numPr>
          <w:ilvl w:val="0"/>
          <w:numId w:val="5"/>
        </w:num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国家发展改革委办公厅关于进一步做好政府和社会资本合作新机制项目规范实施工作的通知</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发改办投资〔2024〕1013号</w:t>
      </w:r>
      <w:r>
        <w:rPr>
          <w:rFonts w:hint="eastAsia"/>
          <w:color w:val="000000" w:themeColor="text1"/>
          <w:lang w:val="en-US" w:eastAsia="zh-CN"/>
          <w14:textFill>
            <w14:solidFill>
              <w14:schemeClr w14:val="tx1"/>
            </w14:solidFill>
          </w14:textFill>
        </w:rPr>
        <w:t>）</w:t>
      </w:r>
    </w:p>
    <w:p w14:paraId="797D7B88">
      <w:pPr>
        <w:pStyle w:val="8"/>
        <w:rPr>
          <w:color w:val="000000" w:themeColor="text1"/>
          <w14:textFill>
            <w14:solidFill>
              <w14:schemeClr w14:val="tx1"/>
            </w14:solidFill>
          </w14:textFill>
        </w:rPr>
      </w:pPr>
      <w:bookmarkStart w:id="45" w:name="_Toc17118"/>
      <w:bookmarkStart w:id="46" w:name="_Toc3817"/>
      <w:bookmarkStart w:id="47" w:name="_Toc681"/>
      <w:bookmarkStart w:id="48" w:name="_Toc59113278"/>
      <w:r>
        <w:rPr>
          <w:rFonts w:hint="eastAsia"/>
          <w:color w:val="000000" w:themeColor="text1"/>
          <w14:textFill>
            <w14:solidFill>
              <w14:schemeClr w14:val="tx1"/>
            </w14:solidFill>
          </w14:textFill>
        </w:rPr>
        <w:t>地方相关政策文件</w:t>
      </w:r>
      <w:bookmarkEnd w:id="45"/>
      <w:bookmarkEnd w:id="46"/>
      <w:bookmarkEnd w:id="47"/>
      <w:bookmarkEnd w:id="48"/>
    </w:p>
    <w:p w14:paraId="5DF91734">
      <w:pPr>
        <w:numPr>
          <w:ilvl w:val="0"/>
          <w:numId w:val="6"/>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《内蒙古自治区党委关于制定国民经济和社会发展第十四个五年规划和二〇三五年远景目标的建议》；</w:t>
      </w:r>
    </w:p>
    <w:p w14:paraId="3829B27C">
      <w:pPr>
        <w:numPr>
          <w:ilvl w:val="0"/>
          <w:numId w:val="6"/>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《内蒙古自治区基础设施和公用事业特许经营管理办法》（内发改法规字〔2016〕613号）</w:t>
      </w:r>
      <w:r>
        <w:rPr>
          <w:rFonts w:hint="eastAsia"/>
          <w:color w:val="000000" w:themeColor="text1"/>
          <w:lang w:eastAsia="zh-CN"/>
          <w14:textFill>
            <w14:solidFill>
              <w14:schemeClr w14:val="tx1"/>
            </w14:solidFill>
          </w14:textFill>
        </w:rPr>
        <w:t>；</w:t>
      </w:r>
    </w:p>
    <w:p w14:paraId="0C7DAE6C">
      <w:pPr>
        <w:numPr>
          <w:ilvl w:val="0"/>
          <w:numId w:val="6"/>
        </w:numPr>
        <w:ind w:firstLine="560" w:firstLineChars="20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《内蒙古自治区人民政府办公厅关于规范推进全区政府和社会资本合作项目的实施意见》(内政办发〔2024〕34号〕</w:t>
      </w:r>
      <w:r>
        <w:rPr>
          <w:rFonts w:hint="eastAsia"/>
          <w:color w:val="000000" w:themeColor="text1"/>
          <w:lang w:val="en-US" w:eastAsia="zh-CN"/>
          <w14:textFill>
            <w14:solidFill>
              <w14:schemeClr w14:val="tx1"/>
            </w14:solidFill>
          </w14:textFill>
        </w:rPr>
        <w:t>；</w:t>
      </w:r>
    </w:p>
    <w:p w14:paraId="65FFC3A6">
      <w:pPr>
        <w:numPr>
          <w:ilvl w:val="0"/>
          <w:numId w:val="6"/>
        </w:num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《内蒙古自治区发展和改革委员会</w:t>
      </w:r>
      <w:r>
        <w:rPr>
          <w:rFonts w:hint="default"/>
          <w:color w:val="000000" w:themeColor="text1"/>
          <w:lang w:val="en-US" w:eastAsia="zh-CN"/>
          <w14:textFill>
            <w14:solidFill>
              <w14:schemeClr w14:val="tx1"/>
            </w14:solidFill>
          </w14:textFill>
        </w:rPr>
        <w:t>关于做好盟市及旗县政府和社会资本合作项目提级复核工作的通知</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2024</w:t>
      </w:r>
      <w:r>
        <w:rPr>
          <w:rFonts w:hint="eastAsia"/>
          <w:color w:val="000000" w:themeColor="text1"/>
          <w:lang w:val="en-US" w:eastAsia="zh-CN"/>
          <w14:textFill>
            <w14:solidFill>
              <w14:schemeClr w14:val="tx1"/>
            </w14:solidFill>
          </w14:textFill>
        </w:rPr>
        <w:t>年</w:t>
      </w:r>
      <w:r>
        <w:rPr>
          <w:rFonts w:hint="default"/>
          <w:color w:val="000000" w:themeColor="text1"/>
          <w:lang w:val="en-US" w:eastAsia="zh-CN"/>
          <w14:textFill>
            <w14:solidFill>
              <w14:schemeClr w14:val="tx1"/>
            </w14:solidFill>
          </w14:textFill>
        </w:rPr>
        <w:t>7</w:t>
      </w:r>
      <w:r>
        <w:rPr>
          <w:rFonts w:hint="eastAsia"/>
          <w:color w:val="000000" w:themeColor="text1"/>
          <w:lang w:val="en-US" w:eastAsia="zh-CN"/>
          <w14:textFill>
            <w14:solidFill>
              <w14:schemeClr w14:val="tx1"/>
            </w14:solidFill>
          </w14:textFill>
        </w:rPr>
        <w:t>月</w:t>
      </w:r>
      <w:r>
        <w:rPr>
          <w:rFonts w:hint="default"/>
          <w:color w:val="000000" w:themeColor="text1"/>
          <w:lang w:val="en-US" w:eastAsia="zh-CN"/>
          <w14:textFill>
            <w14:solidFill>
              <w14:schemeClr w14:val="tx1"/>
            </w14:solidFill>
          </w14:textFill>
        </w:rPr>
        <w:t>30</w:t>
      </w:r>
      <w:r>
        <w:rPr>
          <w:rFonts w:hint="eastAsia"/>
          <w:color w:val="000000" w:themeColor="text1"/>
          <w:lang w:val="en-US" w:eastAsia="zh-CN"/>
          <w14:textFill>
            <w14:solidFill>
              <w14:schemeClr w14:val="tx1"/>
            </w14:solidFill>
          </w14:textFill>
        </w:rPr>
        <w:t>日）；</w:t>
      </w:r>
    </w:p>
    <w:p w14:paraId="0B9A605B">
      <w:pPr>
        <w:numPr>
          <w:ilvl w:val="0"/>
          <w:numId w:val="6"/>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《包头市国民经济和社会发展第十四个五年规划和二〇三五年远景目标的建议》；</w:t>
      </w:r>
    </w:p>
    <w:p w14:paraId="564156B1">
      <w:pPr>
        <w:numPr>
          <w:ilvl w:val="0"/>
          <w:numId w:val="6"/>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《包头市城镇环境卫生“十四五”规划》；</w:t>
      </w:r>
    </w:p>
    <w:p w14:paraId="42DDA3C8">
      <w:pPr>
        <w:numPr>
          <w:ilvl w:val="0"/>
          <w:numId w:val="6"/>
        </w:numPr>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包头市发展和改革委员会 包头市城市管理局关于包头市主城区生活垃圾处理费标准的通知</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包发改价费字</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749</w:t>
      </w:r>
      <w:r>
        <w:rPr>
          <w:rFonts w:hint="default"/>
          <w:color w:val="000000" w:themeColor="text1"/>
          <w:lang w:val="en-US" w:eastAsia="zh-CN"/>
          <w14:textFill>
            <w14:solidFill>
              <w14:schemeClr w14:val="tx1"/>
            </w14:solidFill>
          </w14:textFill>
        </w:rPr>
        <w:t>号</w:t>
      </w:r>
      <w:r>
        <w:rPr>
          <w:rFonts w:hint="eastAsia"/>
          <w:color w:val="000000" w:themeColor="text1"/>
          <w:lang w:eastAsia="zh-CN"/>
          <w14:textFill>
            <w14:solidFill>
              <w14:schemeClr w14:val="tx1"/>
            </w14:solidFill>
          </w14:textFill>
        </w:rPr>
        <w:t>）；</w:t>
      </w:r>
    </w:p>
    <w:p w14:paraId="45FF10C4">
      <w:pPr>
        <w:numPr>
          <w:ilvl w:val="0"/>
          <w:numId w:val="6"/>
        </w:numPr>
        <w:ind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包头市人民政府办公室</w:t>
      </w:r>
      <w:r>
        <w:rPr>
          <w:rFonts w:hint="default"/>
          <w:color w:val="000000" w:themeColor="text1"/>
          <w:lang w:val="en-US" w:eastAsia="zh-CN"/>
          <w14:textFill>
            <w14:solidFill>
              <w14:schemeClr w14:val="tx1"/>
            </w14:solidFill>
          </w14:textFill>
        </w:rPr>
        <w:t>关于印发生活垃圾处理运行补贴标准的通知</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包府办发</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80</w:t>
      </w:r>
      <w:r>
        <w:rPr>
          <w:rFonts w:hint="default"/>
          <w:color w:val="000000" w:themeColor="text1"/>
          <w:lang w:val="en-US" w:eastAsia="zh-CN"/>
          <w14:textFill>
            <w14:solidFill>
              <w14:schemeClr w14:val="tx1"/>
            </w14:solidFill>
          </w14:textFill>
        </w:rPr>
        <w:t>号</w:t>
      </w:r>
      <w:r>
        <w:rPr>
          <w:rFonts w:hint="eastAsia"/>
          <w:color w:val="000000" w:themeColor="text1"/>
          <w:lang w:eastAsia="zh-CN"/>
          <w14:textFill>
            <w14:solidFill>
              <w14:schemeClr w14:val="tx1"/>
            </w14:solidFill>
          </w14:textFill>
        </w:rPr>
        <w:t>）；</w:t>
      </w:r>
    </w:p>
    <w:p w14:paraId="6A6136CD">
      <w:pPr>
        <w:numPr>
          <w:ilvl w:val="0"/>
          <w:numId w:val="6"/>
        </w:num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《包头市人民政府办公室</w:t>
      </w:r>
      <w:r>
        <w:rPr>
          <w:rFonts w:hint="default"/>
          <w:color w:val="000000" w:themeColor="text1"/>
          <w:lang w:val="en-US" w:eastAsia="zh-CN"/>
          <w14:textFill>
            <w14:solidFill>
              <w14:schemeClr w14:val="tx1"/>
            </w14:solidFill>
          </w14:textFill>
        </w:rPr>
        <w:t>关于印发包头市城镇生活垃圾处理费收费管理办法的通知</w:t>
      </w:r>
      <w:r>
        <w:rPr>
          <w:rFonts w:hint="eastAsia"/>
          <w:color w:val="000000" w:themeColor="text1"/>
          <w:lang w:val="en-US" w:eastAsia="zh-CN"/>
          <w14:textFill>
            <w14:solidFill>
              <w14:schemeClr w14:val="tx1"/>
            </w14:solidFill>
          </w14:textFill>
        </w:rPr>
        <w:t>》（包府办发</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〕4号</w:t>
      </w:r>
      <w:r>
        <w:rPr>
          <w:rFonts w:hint="eastAsia"/>
          <w:color w:val="000000" w:themeColor="text1"/>
          <w:lang w:val="en-US" w:eastAsia="zh-CN"/>
          <w14:textFill>
            <w14:solidFill>
              <w14:schemeClr w14:val="tx1"/>
            </w14:solidFill>
          </w14:textFill>
        </w:rPr>
        <w:t>）。</w:t>
      </w:r>
    </w:p>
    <w:p w14:paraId="32B0FFA3">
      <w:pPr>
        <w:pStyle w:val="8"/>
        <w:rPr>
          <w:color w:val="000000" w:themeColor="text1"/>
          <w14:textFill>
            <w14:solidFill>
              <w14:schemeClr w14:val="tx1"/>
            </w14:solidFill>
          </w14:textFill>
        </w:rPr>
      </w:pPr>
      <w:bookmarkStart w:id="49" w:name="_Toc8263"/>
      <w:bookmarkStart w:id="50" w:name="_Toc59113279"/>
      <w:bookmarkStart w:id="51" w:name="_Toc29561"/>
      <w:bookmarkStart w:id="52" w:name="_Toc15943"/>
      <w:r>
        <w:rPr>
          <w:rFonts w:hint="eastAsia"/>
          <w:color w:val="000000" w:themeColor="text1"/>
          <w14:textFill>
            <w14:solidFill>
              <w14:schemeClr w14:val="tx1"/>
            </w14:solidFill>
          </w14:textFill>
        </w:rPr>
        <w:t>相关标准及规范</w:t>
      </w:r>
      <w:bookmarkEnd w:id="49"/>
      <w:bookmarkEnd w:id="50"/>
      <w:bookmarkEnd w:id="51"/>
      <w:bookmarkEnd w:id="52"/>
    </w:p>
    <w:p w14:paraId="4B4BD9B8">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《生活垃圾焚烧污染控制标准》（GB18485-2014）</w:t>
      </w:r>
      <w:r>
        <w:rPr>
          <w:rFonts w:hint="eastAsia"/>
          <w:color w:val="000000" w:themeColor="text1"/>
          <w14:textFill>
            <w14:solidFill>
              <w14:schemeClr w14:val="tx1"/>
            </w14:solidFill>
          </w14:textFill>
        </w:rPr>
        <w:t>；</w:t>
      </w:r>
    </w:p>
    <w:p w14:paraId="37EC48F4">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《生活垃圾焚烧炉及余热锅炉》（GB/T18750-2008）</w:t>
      </w:r>
      <w:r>
        <w:rPr>
          <w:rFonts w:hint="eastAsia"/>
          <w:color w:val="000000" w:themeColor="text1"/>
          <w14:textFill>
            <w14:solidFill>
              <w14:schemeClr w14:val="tx1"/>
            </w14:solidFill>
          </w14:textFill>
        </w:rPr>
        <w:t>；</w:t>
      </w:r>
    </w:p>
    <w:p w14:paraId="7EB77BB3">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《工业企业设计卫生标准》（GBZ1-2010）</w:t>
      </w:r>
      <w:r>
        <w:rPr>
          <w:rFonts w:hint="eastAsia"/>
          <w:color w:val="000000" w:themeColor="text1"/>
          <w14:textFill>
            <w14:solidFill>
              <w14:schemeClr w14:val="tx1"/>
            </w14:solidFill>
          </w14:textFill>
        </w:rPr>
        <w:t>；</w:t>
      </w:r>
    </w:p>
    <w:p w14:paraId="601171AB">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《污水综合排放标准》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GB8978-1996</w:t>
      </w:r>
      <w:r>
        <w:rPr>
          <w:rFonts w:hint="eastAsia"/>
          <w:color w:val="000000" w:themeColor="text1"/>
          <w14:textFill>
            <w14:solidFill>
              <w14:schemeClr w14:val="tx1"/>
            </w14:solidFill>
          </w14:textFill>
        </w:rPr>
        <w:t>）；</w:t>
      </w:r>
    </w:p>
    <w:p w14:paraId="18429FD7">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《城镇污水再生利用工程设计规范》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GB/T50335-2016</w:t>
      </w:r>
      <w:r>
        <w:rPr>
          <w:rFonts w:hint="eastAsia"/>
          <w:color w:val="000000" w:themeColor="text1"/>
          <w14:textFill>
            <w14:solidFill>
              <w14:schemeClr w14:val="tx1"/>
            </w14:solidFill>
          </w14:textFill>
        </w:rPr>
        <w:t>）；</w:t>
      </w:r>
    </w:p>
    <w:p w14:paraId="4EFAB21A">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《城市污水再生利用工业用水水质》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GB/T19923-2005</w:t>
      </w:r>
      <w:r>
        <w:rPr>
          <w:rFonts w:hint="eastAsia"/>
          <w:color w:val="000000" w:themeColor="text1"/>
          <w14:textFill>
            <w14:solidFill>
              <w14:schemeClr w14:val="tx1"/>
            </w14:solidFill>
          </w14:textFill>
        </w:rPr>
        <w:t>）；</w:t>
      </w:r>
    </w:p>
    <w:p w14:paraId="028F75BA">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《城市污水再生利用城市杂用水水质》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GB/T18920-2020</w:t>
      </w:r>
      <w:r>
        <w:rPr>
          <w:rFonts w:hint="eastAsia"/>
          <w:color w:val="000000" w:themeColor="text1"/>
          <w14:textFill>
            <w14:solidFill>
              <w14:schemeClr w14:val="tx1"/>
            </w14:solidFill>
          </w14:textFill>
        </w:rPr>
        <w:t>）；</w:t>
      </w:r>
    </w:p>
    <w:p w14:paraId="54A411B9">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《城市环境卫生设施规划规范》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GB50337-2003</w:t>
      </w:r>
      <w:r>
        <w:rPr>
          <w:rFonts w:hint="eastAsia"/>
          <w:color w:val="000000" w:themeColor="text1"/>
          <w14:textFill>
            <w14:solidFill>
              <w14:schemeClr w14:val="tx1"/>
            </w14:solidFill>
          </w14:textFill>
        </w:rPr>
        <w:t>）；</w:t>
      </w:r>
    </w:p>
    <w:p w14:paraId="3548C60B">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《室外给水设计</w:t>
      </w:r>
      <w:r>
        <w:rPr>
          <w:rFonts w:hint="eastAsia"/>
          <w:color w:val="000000" w:themeColor="text1"/>
          <w14:textFill>
            <w14:solidFill>
              <w14:schemeClr w14:val="tx1"/>
            </w14:solidFill>
          </w14:textFill>
        </w:rPr>
        <w:t>标准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GB50013-201</w:t>
      </w:r>
      <w:r>
        <w:rPr>
          <w:rFonts w:hint="eastAsia"/>
          <w:color w:val="000000" w:themeColor="text1"/>
          <w14:textFill>
            <w14:solidFill>
              <w14:schemeClr w14:val="tx1"/>
            </w14:solidFill>
          </w14:textFill>
        </w:rPr>
        <w:t>9）；</w:t>
      </w:r>
    </w:p>
    <w:p w14:paraId="43E26AB0">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《室外排水设计规范》GB50014-2006（2016版）</w:t>
      </w:r>
      <w:r>
        <w:rPr>
          <w:rFonts w:hint="eastAsia"/>
          <w:color w:val="000000" w:themeColor="text1"/>
          <w14:textFill>
            <w14:solidFill>
              <w14:schemeClr w14:val="tx1"/>
            </w14:solidFill>
          </w14:textFill>
        </w:rPr>
        <w:t>；</w:t>
      </w:r>
    </w:p>
    <w:p w14:paraId="6023C1D8">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《生活垃圾填埋场污染控制标准》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GB16889-2008</w:t>
      </w:r>
      <w:r>
        <w:rPr>
          <w:rFonts w:hint="eastAsia"/>
          <w:color w:val="000000" w:themeColor="text1"/>
          <w14:textFill>
            <w14:solidFill>
              <w14:schemeClr w14:val="tx1"/>
            </w14:solidFill>
          </w14:textFill>
        </w:rPr>
        <w:t>）；</w:t>
      </w:r>
    </w:p>
    <w:p w14:paraId="56D0687D">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《建筑设计防火规范》GB50016-2014（2018年版）</w:t>
      </w:r>
      <w:r>
        <w:rPr>
          <w:rFonts w:hint="eastAsia"/>
          <w:color w:val="000000" w:themeColor="text1"/>
          <w14:textFill>
            <w14:solidFill>
              <w14:schemeClr w14:val="tx1"/>
            </w14:solidFill>
          </w14:textFill>
        </w:rPr>
        <w:t>；</w:t>
      </w:r>
    </w:p>
    <w:p w14:paraId="14456844">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《建筑给水排水设计</w:t>
      </w:r>
      <w:r>
        <w:rPr>
          <w:rFonts w:hint="eastAsia"/>
          <w:color w:val="000000" w:themeColor="text1"/>
          <w14:textFill>
            <w14:solidFill>
              <w14:schemeClr w14:val="tx1"/>
            </w14:solidFill>
          </w14:textFill>
        </w:rPr>
        <w:t>标准</w:t>
      </w:r>
      <w:r>
        <w:rPr>
          <w:color w:val="000000" w:themeColor="text1"/>
          <w14:textFill>
            <w14:solidFill>
              <w14:schemeClr w14:val="tx1"/>
            </w14:solidFill>
          </w14:textFill>
        </w:rPr>
        <w:t>》GB50015-20</w:t>
      </w:r>
      <w:r>
        <w:rPr>
          <w:rFonts w:hint="eastAsia"/>
          <w:color w:val="000000" w:themeColor="text1"/>
          <w14:textFill>
            <w14:solidFill>
              <w14:schemeClr w14:val="tx1"/>
            </w14:solidFill>
          </w14:textFill>
        </w:rPr>
        <w:t>19；</w:t>
      </w:r>
    </w:p>
    <w:p w14:paraId="45BDBEE9">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《工业企业噪声控制设计规范》（GB50087-2013）</w:t>
      </w:r>
      <w:r>
        <w:rPr>
          <w:rFonts w:hint="eastAsia"/>
          <w:color w:val="000000" w:themeColor="text1"/>
          <w14:textFill>
            <w14:solidFill>
              <w14:schemeClr w14:val="tx1"/>
            </w14:solidFill>
          </w14:textFill>
        </w:rPr>
        <w:t>；</w:t>
      </w:r>
    </w:p>
    <w:p w14:paraId="1B51D20E">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p>
    <w:p w14:paraId="2CF41BA9">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《环境空气质量标准》GB3095-2012（2018年修订）</w:t>
      </w:r>
      <w:r>
        <w:rPr>
          <w:rFonts w:hint="eastAsia"/>
          <w:color w:val="000000" w:themeColor="text1"/>
          <w14:textFill>
            <w14:solidFill>
              <w14:schemeClr w14:val="tx1"/>
            </w14:solidFill>
          </w14:textFill>
        </w:rPr>
        <w:t>；</w:t>
      </w:r>
    </w:p>
    <w:p w14:paraId="2BD5DB31">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《恶臭污染物排放标准》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GB14554-1993</w:t>
      </w:r>
      <w:r>
        <w:rPr>
          <w:rFonts w:hint="eastAsia"/>
          <w:color w:val="000000" w:themeColor="text1"/>
          <w14:textFill>
            <w14:solidFill>
              <w14:schemeClr w14:val="tx1"/>
            </w14:solidFill>
          </w14:textFill>
        </w:rPr>
        <w:t>）；</w:t>
      </w:r>
    </w:p>
    <w:p w14:paraId="4646B480">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《危险废物贮存污染控制标准》（GB18597-2023）；</w:t>
      </w:r>
    </w:p>
    <w:p w14:paraId="21877A34">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《工业企业总平面设计规范》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GB50187-2012</w:t>
      </w:r>
      <w:r>
        <w:rPr>
          <w:rFonts w:hint="eastAsia"/>
          <w:color w:val="000000" w:themeColor="text1"/>
          <w14:textFill>
            <w14:solidFill>
              <w14:schemeClr w14:val="tx1"/>
            </w14:solidFill>
          </w14:textFill>
        </w:rPr>
        <w:t>）；</w:t>
      </w:r>
    </w:p>
    <w:p w14:paraId="6567DF5A">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《厂矿道路设计规范》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GBJ22-1987</w:t>
      </w:r>
      <w:r>
        <w:rPr>
          <w:rFonts w:hint="eastAsia"/>
          <w:color w:val="000000" w:themeColor="text1"/>
          <w14:textFill>
            <w14:solidFill>
              <w14:schemeClr w14:val="tx1"/>
            </w14:solidFill>
          </w14:textFill>
        </w:rPr>
        <w:t>）；</w:t>
      </w:r>
    </w:p>
    <w:p w14:paraId="5CF05DF4">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《供配电系统设计规范》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GB50052-2009</w:t>
      </w:r>
      <w:r>
        <w:rPr>
          <w:rFonts w:hint="eastAsia"/>
          <w:color w:val="000000" w:themeColor="text1"/>
          <w14:textFill>
            <w14:solidFill>
              <w14:schemeClr w14:val="tx1"/>
            </w14:solidFill>
          </w14:textFill>
        </w:rPr>
        <w:t>）。</w:t>
      </w:r>
    </w:p>
    <w:p w14:paraId="0C5146D1">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《生活垃圾焚烧处理工程技术规范》（CJJ90-2009）</w:t>
      </w:r>
      <w:r>
        <w:rPr>
          <w:rFonts w:hint="eastAsia"/>
          <w:color w:val="000000" w:themeColor="text1"/>
          <w14:textFill>
            <w14:solidFill>
              <w14:schemeClr w14:val="tx1"/>
            </w14:solidFill>
          </w14:textFill>
        </w:rPr>
        <w:t>；</w:t>
      </w:r>
    </w:p>
    <w:p w14:paraId="251665FE">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《生活垃圾焚烧技术导则》（RISN-TG009-2010）</w:t>
      </w:r>
      <w:r>
        <w:rPr>
          <w:rFonts w:hint="eastAsia"/>
          <w:color w:val="000000" w:themeColor="text1"/>
          <w14:textFill>
            <w14:solidFill>
              <w14:schemeClr w14:val="tx1"/>
            </w14:solidFill>
          </w14:textFill>
        </w:rPr>
        <w:t>；</w:t>
      </w:r>
    </w:p>
    <w:p w14:paraId="67537F3D">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《生活垃圾焚烧厂安全性技术评价导则》（RISN-TG010-2010）</w:t>
      </w:r>
      <w:r>
        <w:rPr>
          <w:rFonts w:hint="eastAsia"/>
          <w:color w:val="000000" w:themeColor="text1"/>
          <w14:textFill>
            <w14:solidFill>
              <w14:schemeClr w14:val="tx1"/>
            </w14:solidFill>
          </w14:textFill>
        </w:rPr>
        <w:t>；</w:t>
      </w:r>
    </w:p>
    <w:p w14:paraId="09452952">
      <w:pPr>
        <w:numPr>
          <w:ilvl w:val="0"/>
          <w:numId w:val="7"/>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《生活垃圾焚烧厂评价标准》（CJJ/T137-2019）</w:t>
      </w:r>
      <w:r>
        <w:rPr>
          <w:rFonts w:hint="eastAsia"/>
          <w:color w:val="000000" w:themeColor="text1"/>
          <w14:textFill>
            <w14:solidFill>
              <w14:schemeClr w14:val="tx1"/>
            </w14:solidFill>
          </w14:textFill>
        </w:rPr>
        <w:t>；</w:t>
      </w:r>
    </w:p>
    <w:p w14:paraId="3D4EE051">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生活垃圾处理处置工程项目规范（GB55012-2021）；</w:t>
      </w:r>
    </w:p>
    <w:p w14:paraId="16005FBE">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建筑给水排水与节水通用规范（GB55020-2021）；</w:t>
      </w:r>
    </w:p>
    <w:p w14:paraId="2765A71C">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消防设施通用规范（GB55036-2023）；</w:t>
      </w:r>
    </w:p>
    <w:p w14:paraId="01C8A1A9">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建筑节能与可再生资源利用通用规范（GB55015-2021）；</w:t>
      </w:r>
    </w:p>
    <w:p w14:paraId="08EE84A0">
      <w:pPr>
        <w:numPr>
          <w:ilvl w:val="0"/>
          <w:numId w:val="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建筑防火测试通用规范标准（GB55037-2022）。</w:t>
      </w:r>
    </w:p>
    <w:p w14:paraId="41629265">
      <w:pPr>
        <w:ind w:firstLine="560" w:firstLineChars="20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以上标准规范如有更新以最新版为准。</w:t>
      </w:r>
    </w:p>
    <w:p w14:paraId="7D96F3DC">
      <w:pPr>
        <w:pStyle w:val="8"/>
        <w:rPr>
          <w:color w:val="000000" w:themeColor="text1"/>
          <w14:textFill>
            <w14:solidFill>
              <w14:schemeClr w14:val="tx1"/>
            </w14:solidFill>
          </w14:textFill>
        </w:rPr>
      </w:pPr>
      <w:bookmarkStart w:id="53" w:name="_Toc59113280"/>
      <w:bookmarkStart w:id="54" w:name="_Toc12572"/>
      <w:bookmarkStart w:id="55" w:name="_Toc30256"/>
      <w:bookmarkStart w:id="56" w:name="_Toc16418"/>
      <w:r>
        <w:rPr>
          <w:color w:val="000000" w:themeColor="text1"/>
          <w14:textFill>
            <w14:solidFill>
              <w14:schemeClr w14:val="tx1"/>
            </w14:solidFill>
          </w14:textFill>
        </w:rPr>
        <w:t>其他参考资料</w:t>
      </w:r>
      <w:bookmarkEnd w:id="53"/>
      <w:bookmarkEnd w:id="54"/>
      <w:bookmarkEnd w:id="55"/>
      <w:bookmarkEnd w:id="56"/>
    </w:p>
    <w:p w14:paraId="23164545">
      <w:pPr>
        <w:numPr>
          <w:ilvl w:val="0"/>
          <w:numId w:val="8"/>
        </w:numPr>
        <w:ind w:firstLine="56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w:t>
      </w:r>
    </w:p>
    <w:p w14:paraId="5A5787E7">
      <w:pPr>
        <w:numPr>
          <w:ilvl w:val="0"/>
          <w:numId w:val="8"/>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《乌拉特前旗环境卫生服务中心征收城镇生活垃圾处理费细则》；</w:t>
      </w:r>
    </w:p>
    <w:p w14:paraId="6B0591BE">
      <w:pPr>
        <w:numPr>
          <w:ilvl w:val="0"/>
          <w:numId w:val="8"/>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《临河区生活垃圾处理费收费标准》；</w:t>
      </w:r>
    </w:p>
    <w:p w14:paraId="4FB50448">
      <w:pPr>
        <w:numPr>
          <w:ilvl w:val="0"/>
          <w:numId w:val="8"/>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其他政府相关部门提供的技术资料。</w:t>
      </w:r>
    </w:p>
    <w:p w14:paraId="6E722B79">
      <w:pPr>
        <w:pStyle w:val="6"/>
        <w:spacing w:before="156" w:after="156"/>
        <w:outlineLvl w:val="2"/>
        <w:rPr>
          <w:color w:val="000000" w:themeColor="text1"/>
          <w14:textFill>
            <w14:solidFill>
              <w14:schemeClr w14:val="tx1"/>
            </w14:solidFill>
          </w14:textFill>
        </w:rPr>
      </w:pPr>
      <w:bookmarkStart w:id="57" w:name="_Toc24583"/>
      <w:r>
        <w:rPr>
          <w:rFonts w:hint="eastAsia"/>
          <w:color w:val="000000" w:themeColor="text1"/>
          <w14:textFill>
            <w14:solidFill>
              <w14:schemeClr w14:val="tx1"/>
            </w14:solidFill>
          </w14:textFill>
        </w:rPr>
        <w:t>项目建设目标和任务</w:t>
      </w:r>
      <w:bookmarkEnd w:id="36"/>
      <w:bookmarkEnd w:id="57"/>
    </w:p>
    <w:p w14:paraId="2AE532D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rFonts w:hint="eastAsia"/>
          <w:color w:val="000000" w:themeColor="text1"/>
          <w:lang w:val="en-US" w:eastAsia="zh-CN"/>
          <w14:textFill>
            <w14:solidFill>
              <w14:schemeClr w14:val="tx1"/>
            </w14:solidFill>
          </w14:textFill>
        </w:rPr>
        <w:t>项目建设任务为新建</w:t>
      </w:r>
      <w:r>
        <w:rPr>
          <w:rFonts w:hint="eastAsia"/>
          <w:color w:val="000000" w:themeColor="text1"/>
          <w14:textFill>
            <w14:solidFill>
              <w14:schemeClr w14:val="tx1"/>
            </w14:solidFill>
          </w14:textFill>
        </w:rPr>
        <w:t>包头市垃圾焚烧发电项目一期工程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设计总规模为日处理垃圾800吨。</w:t>
      </w:r>
      <w:r>
        <w:rPr>
          <w:rFonts w:hint="eastAsia"/>
          <w:color w:val="000000" w:themeColor="text1"/>
          <w:lang w:val="en-US" w:eastAsia="zh-CN"/>
          <w14:textFill>
            <w14:solidFill>
              <w14:schemeClr w14:val="tx1"/>
            </w14:solidFill>
          </w14:textFill>
        </w:rPr>
        <w:t>项目建设目标为：</w:t>
      </w:r>
      <w:r>
        <w:rPr>
          <w:rFonts w:hint="eastAsia"/>
          <w:color w:val="000000" w:themeColor="text1"/>
          <w14:textFill>
            <w14:solidFill>
              <w14:schemeClr w14:val="tx1"/>
            </w14:solidFill>
          </w14:textFill>
        </w:rPr>
        <w:t>提高包头市城市垃圾无害化、减量化、资源化处理能力，提高包头市生活垃圾处理能力稳定性，实现垃圾综合治理发展方向和发展绿化低碳循环经济的政策要求，</w:t>
      </w:r>
      <w:r>
        <w:rPr>
          <w:rFonts w:hint="eastAsia"/>
          <w:color w:val="000000" w:themeColor="text1"/>
          <w:lang w:val="en-US" w:eastAsia="zh-CN"/>
          <w14:textFill>
            <w14:solidFill>
              <w14:schemeClr w14:val="tx1"/>
            </w14:solidFill>
          </w14:textFill>
        </w:rPr>
        <w:t>项目的建设</w:t>
      </w:r>
      <w:r>
        <w:rPr>
          <w:rFonts w:hint="eastAsia"/>
          <w:color w:val="000000" w:themeColor="text1"/>
          <w14:textFill>
            <w14:solidFill>
              <w14:schemeClr w14:val="tx1"/>
            </w14:solidFill>
          </w14:textFill>
        </w:rPr>
        <w:t>具有良好的经济效益、社会效益和生态效益。</w:t>
      </w:r>
    </w:p>
    <w:p w14:paraId="35DB200B">
      <w:pPr>
        <w:pStyle w:val="6"/>
        <w:spacing w:before="156" w:after="156"/>
        <w:outlineLvl w:val="2"/>
        <w:rPr>
          <w:color w:val="000000" w:themeColor="text1"/>
          <w14:textFill>
            <w14:solidFill>
              <w14:schemeClr w14:val="tx1"/>
            </w14:solidFill>
          </w14:textFill>
        </w:rPr>
      </w:pPr>
      <w:bookmarkStart w:id="58" w:name="_Toc23041"/>
      <w:bookmarkStart w:id="59" w:name="_Toc32093"/>
      <w:r>
        <w:rPr>
          <w:rFonts w:hint="eastAsia"/>
          <w:color w:val="000000" w:themeColor="text1"/>
          <w14:textFill>
            <w14:solidFill>
              <w14:schemeClr w14:val="tx1"/>
            </w14:solidFill>
          </w14:textFill>
        </w:rPr>
        <w:t>项目功能和定位</w:t>
      </w:r>
      <w:bookmarkEnd w:id="58"/>
      <w:bookmarkEnd w:id="59"/>
    </w:p>
    <w:p w14:paraId="250C43AE">
      <w:pPr>
        <w:pStyle w:val="7"/>
        <w:ind w:firstLine="562"/>
        <w:rPr>
          <w:rFonts w:hint="eastAsia"/>
          <w:color w:val="000000" w:themeColor="text1"/>
          <w14:textFill>
            <w14:solidFill>
              <w14:schemeClr w14:val="tx1"/>
            </w14:solidFill>
          </w14:textFill>
        </w:rPr>
      </w:pPr>
      <w:r>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t>项目</w:t>
      </w:r>
      <w:r>
        <w:rPr>
          <w:rFonts w:hint="eastAsia"/>
          <w:color w:val="000000" w:themeColor="text1"/>
          <w:lang w:val="en-US" w:eastAsia="zh-CN"/>
          <w14:textFill>
            <w14:solidFill>
              <w14:schemeClr w14:val="tx1"/>
            </w14:solidFill>
          </w14:textFill>
        </w:rPr>
        <w:t>功能</w:t>
      </w:r>
      <w:r>
        <w:rPr>
          <w:rFonts w:hint="eastAsia"/>
          <w:color w:val="000000" w:themeColor="text1"/>
          <w14:textFill>
            <w14:solidFill>
              <w14:schemeClr w14:val="tx1"/>
            </w14:solidFill>
          </w14:textFill>
        </w:rPr>
        <w:t>‌</w:t>
      </w:r>
    </w:p>
    <w:p w14:paraId="4E97CD8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垃圾处理‌：生活垃圾焚烧发电项目的核心功能是对生活垃圾进行高效处理。通过高温焚烧，垃圾中的有机成分与空气中的氧气发生剧烈化学反应，释放出大量热能，这些热能进而被转化为电能，实现了垃圾向电能的转变‌。这一过程不仅大幅减少了垃圾的体积，还有效降低了土地资源占用‌。</w:t>
      </w:r>
    </w:p>
    <w:p w14:paraId="2D9C8CF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‌能源供应‌：焚烧发电项目能够为电网提供稳定、持续的电力输出。与其他新能源发电方式相比，垃圾焚烧发电不受外界自然因素的限制，能够确保电力系统的稳定运行，为新型电力系统提供重要能源补充‌。</w:t>
      </w:r>
    </w:p>
    <w:p w14:paraId="0362042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保效益‌：焚烧发电具有显著的环保优势。通过高温焚烧，垃圾中的有害物质被高温分解，降低了对土壤和地下水的污染风险。同时，先进的烟气净化处理系统对产生的烟气进行深度处理，确保达标排放，减少了对环境的污染‌。</w:t>
      </w:r>
    </w:p>
    <w:p w14:paraId="47CC1C19">
      <w:pPr>
        <w:pStyle w:val="7"/>
        <w:bidi w:val="0"/>
        <w:rPr>
          <w:rFonts w:hint="default"/>
          <w:lang w:val="en-US" w:eastAsia="zh-CN"/>
        </w:rPr>
      </w:pPr>
      <w:r>
        <w:rPr>
          <w:rFonts w:hint="eastAsia"/>
          <w:lang w:val="en-US" w:eastAsia="zh-CN"/>
        </w:rPr>
        <w:t>项目定位</w:t>
      </w:r>
    </w:p>
    <w:p w14:paraId="6246670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建成对完善包头市垃圾处理系统，改善周边的人们生活和生产都将产生积极影响，有利于实现包头市可持续发展。对区域内的开发建设将提供必要的基础设施保证，对贯彻落实包头市城市总体规划，建立高效便捷的快速交通体系，优化投资环境，带动全市经济发展，加快现代化建设步伐，都具有特别重要的意义，并获得极大的社会、经济、环境效益。</w:t>
      </w:r>
    </w:p>
    <w:p w14:paraId="41EBFC25">
      <w:pPr>
        <w:pStyle w:val="6"/>
        <w:spacing w:before="0" w:beforeLines="0" w:after="0" w:afterLines="0"/>
        <w:outlineLvl w:val="2"/>
        <w:rPr>
          <w:color w:val="000000" w:themeColor="text1"/>
          <w14:textFill>
            <w14:solidFill>
              <w14:schemeClr w14:val="tx1"/>
            </w14:solidFill>
          </w14:textFill>
        </w:rPr>
      </w:pPr>
      <w:bookmarkStart w:id="60" w:name="_Toc21191"/>
      <w:bookmarkStart w:id="61" w:name="_Toc17268"/>
      <w:r>
        <w:rPr>
          <w:rFonts w:hint="eastAsia"/>
          <w:color w:val="000000" w:themeColor="text1"/>
          <w14:textFill>
            <w14:solidFill>
              <w14:schemeClr w14:val="tx1"/>
            </w14:solidFill>
          </w14:textFill>
        </w:rPr>
        <w:t>建设地点</w:t>
      </w:r>
      <w:bookmarkEnd w:id="60"/>
      <w:bookmarkEnd w:id="61"/>
    </w:p>
    <w:p w14:paraId="1534E78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建厂址位于昆都仑区西北部，昆都仑区西北部卜尔汉图镇内，G6京藏高速包钢出口东北侧。地块北侧为现状搅拌站；南侧距G6京藏高速约0.1公里，距金属深加工园约0.4公里；西距包头西立交约0.4公里；东距昆都仑召站约3公里。厂址周围300米范围内无居民区、学校、医院等敏感目标，距离最近的张家营子社区约2.9公里，可以保证卫生防护距离内无居民、无环境敏感点。</w:t>
      </w:r>
    </w:p>
    <w:p w14:paraId="7F7E609E">
      <w:pPr>
        <w:spacing w:line="560" w:lineRule="exact"/>
        <w:ind w:firstLine="56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该厂址符合地方规划及国家现有行业标准；不受洪水、潮水或内涝的威胁；园区内包含生活垃圾处理中心，便于焚烧产生的炉渣及飞灰的处理与处置；有可靠的电力供应、供水水源；距离中心城区有一定距离，不会对中心城区产生较大影响，且能避免生活垃圾焚烧发电厂的废气、噪声对城市居民的干扰；目前现有污泥及餐厨处理项目，可以统一规划联合处理；南侧为现状物流园区，同时距离铁路、高速距离较近，运输条件极佳。</w:t>
      </w:r>
    </w:p>
    <w:p w14:paraId="2E4D77A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332730" cy="3189605"/>
            <wp:effectExtent l="0" t="0" r="1270" b="10795"/>
            <wp:docPr id="2" name="图片 2" descr="17154158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5415813371"/>
                    <pic:cNvPicPr>
                      <a:picLocks noChangeAspect="1"/>
                    </pic:cNvPicPr>
                  </pic:nvPicPr>
                  <pic:blipFill>
                    <a:blip r:embed="rId17"/>
                    <a:srcRect r="49432"/>
                    <a:stretch>
                      <a:fillRect/>
                    </a:stretch>
                  </pic:blipFill>
                  <pic:spPr>
                    <a:xfrm>
                      <a:off x="0" y="0"/>
                      <a:ext cx="5332730" cy="3189605"/>
                    </a:xfrm>
                    <a:prstGeom prst="rect">
                      <a:avLst/>
                    </a:prstGeom>
                  </pic:spPr>
                </pic:pic>
              </a:graphicData>
            </a:graphic>
          </wp:inline>
        </w:drawing>
      </w:r>
    </w:p>
    <w:p w14:paraId="6CF3E4A8">
      <w:pPr>
        <w:pStyle w:val="38"/>
        <w:numPr>
          <w:ilvl w:val="0"/>
          <w:numId w:val="9"/>
        </w:numPr>
        <w:ind w:left="454" w:leftChars="0" w:hanging="454"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项目区位图</w:t>
      </w:r>
    </w:p>
    <w:p w14:paraId="6397FA90">
      <w:pPr>
        <w:pStyle w:val="38"/>
        <w:ind w:left="0"/>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drawing>
          <wp:inline distT="0" distB="0" distL="114300" distR="114300">
            <wp:extent cx="5233035" cy="2956560"/>
            <wp:effectExtent l="0" t="0" r="12065" b="2540"/>
            <wp:docPr id="18" name="图片 18" descr="附图01 产业园区规划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01 产业园区规划图_00"/>
                    <pic:cNvPicPr>
                      <a:picLocks noChangeAspect="1"/>
                    </pic:cNvPicPr>
                  </pic:nvPicPr>
                  <pic:blipFill>
                    <a:blip r:embed="rId18"/>
                    <a:stretch>
                      <a:fillRect/>
                    </a:stretch>
                  </pic:blipFill>
                  <pic:spPr>
                    <a:xfrm>
                      <a:off x="0" y="0"/>
                      <a:ext cx="5233035" cy="2956560"/>
                    </a:xfrm>
                    <a:prstGeom prst="rect">
                      <a:avLst/>
                    </a:prstGeom>
                  </pic:spPr>
                </pic:pic>
              </a:graphicData>
            </a:graphic>
          </wp:inline>
        </w:drawing>
      </w:r>
    </w:p>
    <w:p w14:paraId="58745821">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项目区域总平面图</w:t>
      </w:r>
    </w:p>
    <w:p w14:paraId="0265C076">
      <w:pPr>
        <w:pStyle w:val="6"/>
        <w:spacing w:before="156" w:after="156"/>
        <w:outlineLvl w:val="2"/>
        <w:rPr>
          <w:color w:val="000000" w:themeColor="text1"/>
          <w14:textFill>
            <w14:solidFill>
              <w14:schemeClr w14:val="tx1"/>
            </w14:solidFill>
          </w14:textFill>
        </w:rPr>
      </w:pPr>
      <w:bookmarkStart w:id="62" w:name="_Toc10339"/>
      <w:bookmarkStart w:id="63" w:name="_Toc26476"/>
      <w:r>
        <w:rPr>
          <w:rFonts w:hint="eastAsia"/>
          <w:color w:val="000000" w:themeColor="text1"/>
          <w14:textFill>
            <w14:solidFill>
              <w14:schemeClr w14:val="tx1"/>
            </w14:solidFill>
          </w14:textFill>
        </w:rPr>
        <w:t>建设工期</w:t>
      </w:r>
      <w:bookmarkEnd w:id="62"/>
      <w:bookmarkEnd w:id="63"/>
    </w:p>
    <w:p w14:paraId="04B725C3">
      <w:pPr>
        <w:ind w:firstLine="56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本项目建设期暂定为两（2）年，</w:t>
      </w:r>
      <w:r>
        <w:rPr>
          <w:rFonts w:hint="eastAsia"/>
          <w:color w:val="000000" w:themeColor="text1"/>
          <w:lang w:val="en-US" w:eastAsia="zh-CN"/>
          <w14:textFill>
            <w14:solidFill>
              <w14:schemeClr w14:val="tx1"/>
            </w14:solidFill>
          </w14:textFill>
        </w:rPr>
        <w:t>包含6个月的前期准备期，</w:t>
      </w:r>
      <w:r>
        <w:rPr>
          <w:color w:val="000000" w:themeColor="text1"/>
          <w14:textFill>
            <w14:solidFill>
              <w14:schemeClr w14:val="tx1"/>
            </w14:solidFill>
          </w14:textFill>
        </w:rPr>
        <w:t>具体以特许经营协议约定为准。项目公司应在成立之初与</w:t>
      </w:r>
      <w:r>
        <w:rPr>
          <w:rFonts w:hint="eastAsia"/>
          <w:color w:val="000000" w:themeColor="text1"/>
          <w14:textFill>
            <w14:solidFill>
              <w14:schemeClr w14:val="tx1"/>
            </w14:solidFill>
          </w14:textFill>
        </w:rPr>
        <w:t>包头市城市管理局</w:t>
      </w:r>
      <w:r>
        <w:rPr>
          <w:color w:val="000000" w:themeColor="text1"/>
          <w14:textFill>
            <w14:solidFill>
              <w14:schemeClr w14:val="tx1"/>
            </w14:solidFill>
          </w14:textFill>
        </w:rPr>
        <w:t>协商确定本项目建设工程的关键工期及关键建设节点日期，并严格遵照执行。</w:t>
      </w:r>
      <w:r>
        <w:rPr>
          <w:rFonts w:hint="eastAsia"/>
          <w:color w:val="000000" w:themeColor="text1"/>
          <w14:textFill>
            <w14:solidFill>
              <w14:schemeClr w14:val="tx1"/>
            </w14:solidFill>
          </w14:textFill>
        </w:rPr>
        <w:t>项目主要时间节点如下：</w:t>
      </w:r>
    </w:p>
    <w:p w14:paraId="14951383">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主要进度节点表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3251"/>
        <w:gridCol w:w="4111"/>
      </w:tblGrid>
      <w:tr w14:paraId="6968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shd w:val="clear" w:color="auto" w:fill="BDD6EE" w:themeFill="accent1" w:themeFillTint="66"/>
          </w:tcPr>
          <w:p w14:paraId="64A97E68">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kern w:val="0"/>
                <w:sz w:val="24"/>
                <w:szCs w:val="24"/>
                <w:lang w:bidi="ar"/>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序号</w:t>
            </w:r>
          </w:p>
        </w:tc>
        <w:tc>
          <w:tcPr>
            <w:tcW w:w="3251" w:type="dxa"/>
            <w:shd w:val="clear" w:color="auto" w:fill="BDD6EE" w:themeFill="accent1" w:themeFillTint="66"/>
          </w:tcPr>
          <w:p w14:paraId="437F2200">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kern w:val="0"/>
                <w:sz w:val="24"/>
                <w:szCs w:val="24"/>
                <w:lang w:bidi="ar"/>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主要内容</w:t>
            </w:r>
          </w:p>
        </w:tc>
        <w:tc>
          <w:tcPr>
            <w:tcW w:w="4111" w:type="dxa"/>
            <w:shd w:val="clear" w:color="auto" w:fill="BDD6EE" w:themeFill="accent1" w:themeFillTint="66"/>
          </w:tcPr>
          <w:p w14:paraId="74F4E243">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kern w:val="0"/>
                <w:sz w:val="24"/>
                <w:szCs w:val="24"/>
                <w:lang w:bidi="ar"/>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时间节点</w:t>
            </w:r>
          </w:p>
        </w:tc>
      </w:tr>
      <w:tr w14:paraId="5CA3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0B189030">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1</w:t>
            </w:r>
          </w:p>
        </w:tc>
        <w:tc>
          <w:tcPr>
            <w:tcW w:w="3251" w:type="dxa"/>
            <w:vAlign w:val="top"/>
          </w:tcPr>
          <w:p w14:paraId="087AB9F8">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项目公司成立</w:t>
            </w:r>
          </w:p>
        </w:tc>
        <w:tc>
          <w:tcPr>
            <w:tcW w:w="4111" w:type="dxa"/>
            <w:vAlign w:val="top"/>
          </w:tcPr>
          <w:p w14:paraId="5D6831AB">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《特许经营协议》签订后30日内完成</w:t>
            </w:r>
          </w:p>
        </w:tc>
      </w:tr>
      <w:tr w14:paraId="7DCD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16D7F8C5">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kern w:val="2"/>
                <w:sz w:val="24"/>
                <w:szCs w:val="24"/>
                <w:lang w:val="en-US" w:eastAsia="zh-CN" w:bidi="ar"/>
              </w:rPr>
              <w:t>2</w:t>
            </w:r>
          </w:p>
        </w:tc>
        <w:tc>
          <w:tcPr>
            <w:tcW w:w="3251" w:type="dxa"/>
            <w:vAlign w:val="top"/>
          </w:tcPr>
          <w:p w14:paraId="2DBDA30B">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项目前期审批</w:t>
            </w:r>
          </w:p>
        </w:tc>
        <w:tc>
          <w:tcPr>
            <w:tcW w:w="4111" w:type="dxa"/>
            <w:vAlign w:val="top"/>
          </w:tcPr>
          <w:p w14:paraId="3265971A">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项目公司成立后</w:t>
            </w:r>
            <w:r>
              <w:rPr>
                <w:rFonts w:hint="eastAsia" w:ascii="仿宋" w:hAnsi="仿宋" w:cs="仿宋"/>
                <w:color w:val="000000"/>
                <w:kern w:val="2"/>
                <w:sz w:val="24"/>
                <w:szCs w:val="24"/>
                <w:lang w:val="en-US" w:eastAsia="zh-CN" w:bidi="ar"/>
              </w:rPr>
              <w:t>6</w:t>
            </w:r>
            <w:r>
              <w:rPr>
                <w:rFonts w:hint="eastAsia" w:ascii="仿宋" w:hAnsi="仿宋" w:eastAsia="仿宋" w:cs="仿宋"/>
                <w:color w:val="000000"/>
                <w:kern w:val="2"/>
                <w:sz w:val="24"/>
                <w:szCs w:val="24"/>
                <w:lang w:val="en-US" w:eastAsia="zh-CN" w:bidi="ar"/>
              </w:rPr>
              <w:t>个月内完成</w:t>
            </w:r>
          </w:p>
        </w:tc>
      </w:tr>
      <w:tr w14:paraId="7563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7399509E">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3</w:t>
            </w:r>
          </w:p>
        </w:tc>
        <w:tc>
          <w:tcPr>
            <w:tcW w:w="3251" w:type="dxa"/>
            <w:vAlign w:val="top"/>
          </w:tcPr>
          <w:p w14:paraId="012891F9">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w:t>
            </w:r>
          </w:p>
        </w:tc>
        <w:tc>
          <w:tcPr>
            <w:tcW w:w="4111" w:type="dxa"/>
            <w:vAlign w:val="top"/>
          </w:tcPr>
          <w:p w14:paraId="52DFEFAB">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取得施工许可证一周内</w:t>
            </w:r>
          </w:p>
        </w:tc>
      </w:tr>
      <w:tr w14:paraId="4BA4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7080FC7D">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4</w:t>
            </w:r>
          </w:p>
        </w:tc>
        <w:tc>
          <w:tcPr>
            <w:tcW w:w="3251" w:type="dxa"/>
            <w:vAlign w:val="top"/>
          </w:tcPr>
          <w:p w14:paraId="707F282C">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土建工程施工</w:t>
            </w:r>
          </w:p>
        </w:tc>
        <w:tc>
          <w:tcPr>
            <w:tcW w:w="4111" w:type="dxa"/>
            <w:vAlign w:val="top"/>
          </w:tcPr>
          <w:p w14:paraId="789D2F5F">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项目开工后17个月内完成</w:t>
            </w:r>
          </w:p>
        </w:tc>
      </w:tr>
      <w:tr w14:paraId="2A16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088FD35E">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5</w:t>
            </w:r>
          </w:p>
        </w:tc>
        <w:tc>
          <w:tcPr>
            <w:tcW w:w="3251" w:type="dxa"/>
            <w:vAlign w:val="top"/>
          </w:tcPr>
          <w:p w14:paraId="6B0EF91E">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设备购置</w:t>
            </w:r>
          </w:p>
        </w:tc>
        <w:tc>
          <w:tcPr>
            <w:tcW w:w="4111" w:type="dxa"/>
            <w:vAlign w:val="top"/>
          </w:tcPr>
          <w:p w14:paraId="69A1B9A1">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初步设计批复后10个月内完成</w:t>
            </w:r>
          </w:p>
        </w:tc>
      </w:tr>
      <w:tr w14:paraId="5D83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279095C8">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6</w:t>
            </w:r>
          </w:p>
        </w:tc>
        <w:tc>
          <w:tcPr>
            <w:tcW w:w="3251" w:type="dxa"/>
            <w:vAlign w:val="top"/>
          </w:tcPr>
          <w:p w14:paraId="1CF6356B">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工程设备安装</w:t>
            </w:r>
          </w:p>
        </w:tc>
        <w:tc>
          <w:tcPr>
            <w:tcW w:w="4111" w:type="dxa"/>
            <w:vAlign w:val="top"/>
          </w:tcPr>
          <w:p w14:paraId="596198ED">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项目开工后19个月内完成</w:t>
            </w:r>
          </w:p>
        </w:tc>
      </w:tr>
      <w:tr w14:paraId="2FA9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51B6273F">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7</w:t>
            </w:r>
          </w:p>
        </w:tc>
        <w:tc>
          <w:tcPr>
            <w:tcW w:w="3251" w:type="dxa"/>
            <w:vAlign w:val="top"/>
          </w:tcPr>
          <w:p w14:paraId="1819DD68">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机组调试</w:t>
            </w:r>
          </w:p>
        </w:tc>
        <w:tc>
          <w:tcPr>
            <w:tcW w:w="4111" w:type="dxa"/>
            <w:vAlign w:val="top"/>
          </w:tcPr>
          <w:p w14:paraId="44E545AA">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设备安装完成3个月内</w:t>
            </w:r>
          </w:p>
        </w:tc>
      </w:tr>
      <w:tr w14:paraId="5EA3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3B49B91A">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8</w:t>
            </w:r>
          </w:p>
        </w:tc>
        <w:tc>
          <w:tcPr>
            <w:tcW w:w="3251" w:type="dxa"/>
            <w:vAlign w:val="top"/>
          </w:tcPr>
          <w:p w14:paraId="76660F7D">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并网发电考核</w:t>
            </w:r>
          </w:p>
        </w:tc>
        <w:tc>
          <w:tcPr>
            <w:tcW w:w="4111" w:type="dxa"/>
            <w:vAlign w:val="top"/>
          </w:tcPr>
          <w:p w14:paraId="77A88302">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点火烧垃圾后一周内完成</w:t>
            </w:r>
          </w:p>
        </w:tc>
      </w:tr>
      <w:tr w14:paraId="2E4F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65EE6FE0">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kern w:val="2"/>
                <w:sz w:val="24"/>
                <w:szCs w:val="24"/>
                <w:lang w:val="en-US" w:eastAsia="zh-CN" w:bidi="ar"/>
              </w:rPr>
              <w:t>9</w:t>
            </w:r>
          </w:p>
        </w:tc>
        <w:tc>
          <w:tcPr>
            <w:tcW w:w="3251" w:type="dxa"/>
            <w:vAlign w:val="top"/>
          </w:tcPr>
          <w:p w14:paraId="26CDCA62">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达标投产</w:t>
            </w:r>
          </w:p>
        </w:tc>
        <w:tc>
          <w:tcPr>
            <w:tcW w:w="4111" w:type="dxa"/>
            <w:vAlign w:val="top"/>
          </w:tcPr>
          <w:p w14:paraId="6903EE61">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14:textFill>
                  <w14:solidFill>
                    <w14:schemeClr w14:val="tx1"/>
                  </w14:solidFill>
                </w14:textFill>
              </w:rPr>
            </w:pPr>
            <w:r>
              <w:rPr>
                <w:rFonts w:hint="eastAsia" w:ascii="仿宋" w:hAnsi="仿宋" w:eastAsia="仿宋" w:cs="仿宋"/>
                <w:color w:val="000000"/>
                <w:kern w:val="2"/>
                <w:sz w:val="24"/>
                <w:szCs w:val="24"/>
                <w:lang w:val="en-US" w:eastAsia="zh-CN" w:bidi="ar"/>
              </w:rPr>
              <w:t>机组完成72+24小时试运行</w:t>
            </w:r>
          </w:p>
        </w:tc>
      </w:tr>
      <w:tr w14:paraId="07E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2DF585DA">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1</w:t>
            </w:r>
            <w:r>
              <w:rPr>
                <w:rFonts w:hint="eastAsia" w:ascii="仿宋" w:hAnsi="仿宋" w:cs="仿宋"/>
                <w:color w:val="000000"/>
                <w:kern w:val="2"/>
                <w:sz w:val="24"/>
                <w:szCs w:val="24"/>
                <w:lang w:val="en-US" w:eastAsia="zh-CN" w:bidi="ar"/>
              </w:rPr>
              <w:t>0</w:t>
            </w:r>
          </w:p>
        </w:tc>
        <w:tc>
          <w:tcPr>
            <w:tcW w:w="3251" w:type="dxa"/>
            <w:vAlign w:val="top"/>
          </w:tcPr>
          <w:p w14:paraId="366D7258">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移交生产</w:t>
            </w:r>
          </w:p>
        </w:tc>
        <w:tc>
          <w:tcPr>
            <w:tcW w:w="4111" w:type="dxa"/>
            <w:vAlign w:val="top"/>
          </w:tcPr>
          <w:p w14:paraId="762C8137">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14:textFill>
                  <w14:solidFill>
                    <w14:schemeClr w14:val="tx1"/>
                  </w14:solidFill>
                </w14:textFill>
              </w:rPr>
            </w:pPr>
            <w:r>
              <w:rPr>
                <w:rFonts w:hint="eastAsia" w:ascii="仿宋" w:hAnsi="仿宋" w:eastAsia="仿宋" w:cs="仿宋"/>
                <w:color w:val="000000"/>
                <w:kern w:val="2"/>
                <w:sz w:val="24"/>
                <w:szCs w:val="24"/>
                <w:lang w:val="en-US" w:eastAsia="zh-CN" w:bidi="ar"/>
              </w:rPr>
              <w:t>72+24小时试运行后6个月</w:t>
            </w:r>
          </w:p>
        </w:tc>
      </w:tr>
    </w:tbl>
    <w:p w14:paraId="5198230F">
      <w:pPr>
        <w:pStyle w:val="6"/>
        <w:spacing w:before="156" w:after="156"/>
        <w:outlineLvl w:val="2"/>
        <w:rPr>
          <w:color w:val="000000" w:themeColor="text1"/>
          <w14:textFill>
            <w14:solidFill>
              <w14:schemeClr w14:val="tx1"/>
            </w14:solidFill>
          </w14:textFill>
        </w:rPr>
      </w:pPr>
      <w:bookmarkStart w:id="64" w:name="_Toc24433"/>
      <w:bookmarkStart w:id="65" w:name="_Toc4032"/>
      <w:r>
        <w:rPr>
          <w:rFonts w:hint="eastAsia"/>
          <w:color w:val="000000" w:themeColor="text1"/>
          <w14:textFill>
            <w14:solidFill>
              <w14:schemeClr w14:val="tx1"/>
            </w14:solidFill>
          </w14:textFill>
        </w:rPr>
        <w:t>建设内容和规模</w:t>
      </w:r>
      <w:bookmarkEnd w:id="64"/>
      <w:bookmarkEnd w:id="65"/>
    </w:p>
    <w:p w14:paraId="5485DAB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建设垃圾焚烧发电设施，设计总规模为日处理垃圾800吨，包含建设一座日处理800吨的生活垃圾焚烧发电厂，采用2×400吨/日的焚烧线，配置2×400吨/日机械炉排垃圾焚烧炉和1台18MW抽凝式汽轮发电机组，年运行时间不少于8000小时。</w:t>
      </w:r>
    </w:p>
    <w:p w14:paraId="2E24069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工程主要工艺系统包括：垃圾接收及储存系统、垃圾焚烧系统、余热锅炉系统、烟气净化系统、汽轮发电系统、灰渣处理系统、给排水系统、渗沥液收集系统、电力系统、仪表及自动控制系统等。</w:t>
      </w:r>
    </w:p>
    <w:p w14:paraId="371D37C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工程主要建、构筑物包括：综合</w:t>
      </w:r>
      <w:r>
        <w:rPr>
          <w:rFonts w:hint="eastAsia" w:ascii="仿宋" w:hAnsi="仿宋" w:cs="仿宋"/>
          <w:color w:val="000000" w:themeColor="text1"/>
          <w14:textFill>
            <w14:solidFill>
              <w14:schemeClr w14:val="tx1"/>
            </w14:solidFill>
          </w14:textFill>
        </w:rPr>
        <w:t>主厂房(包括上料坡道)</w:t>
      </w:r>
      <w:r>
        <w:rPr>
          <w:rFonts w:hint="eastAsia"/>
          <w:color w:val="000000" w:themeColor="text1"/>
          <w14:textFill>
            <w14:solidFill>
              <w14:schemeClr w14:val="tx1"/>
            </w14:solidFill>
          </w14:textFill>
        </w:rPr>
        <w:t>、烟囱、综合水泵房及冷却塔、清水池等设施。</w:t>
      </w:r>
    </w:p>
    <w:p w14:paraId="76F1A93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本项目最终具体建设内容以</w:t>
      </w:r>
      <w:r>
        <w:rPr>
          <w:rFonts w:hint="eastAsia"/>
          <w:color w:val="000000" w:themeColor="text1"/>
          <w:lang w:val="en-US" w:eastAsia="zh-CN"/>
          <w14:textFill>
            <w14:solidFill>
              <w14:schemeClr w14:val="tx1"/>
            </w14:solidFill>
          </w14:textFill>
        </w:rPr>
        <w:t>设计</w:t>
      </w:r>
      <w:r>
        <w:rPr>
          <w:rFonts w:hint="eastAsia"/>
          <w:color w:val="000000" w:themeColor="text1"/>
          <w:lang w:eastAsia="zh-CN"/>
          <w14:textFill>
            <w14:solidFill>
              <w14:schemeClr w14:val="tx1"/>
            </w14:solidFill>
          </w14:textFill>
        </w:rPr>
        <w:t>单位</w:t>
      </w:r>
      <w:r>
        <w:rPr>
          <w:rFonts w:hint="eastAsia"/>
          <w:color w:val="000000" w:themeColor="text1"/>
          <w14:textFill>
            <w14:solidFill>
              <w14:schemeClr w14:val="tx1"/>
            </w14:solidFill>
          </w14:textFill>
        </w:rPr>
        <w:t>出具的专业技术文件为准。</w:t>
      </w:r>
    </w:p>
    <w:p w14:paraId="2FF61167">
      <w:pPr>
        <w:pStyle w:val="6"/>
        <w:spacing w:before="156" w:after="156"/>
        <w:outlineLvl w:val="2"/>
        <w:rPr>
          <w:color w:val="000000" w:themeColor="text1"/>
          <w14:textFill>
            <w14:solidFill>
              <w14:schemeClr w14:val="tx1"/>
            </w14:solidFill>
          </w14:textFill>
        </w:rPr>
      </w:pPr>
      <w:bookmarkStart w:id="66" w:name="_Toc27556"/>
      <w:bookmarkStart w:id="67" w:name="_Toc13611"/>
      <w:r>
        <w:rPr>
          <w:rFonts w:hint="eastAsia"/>
          <w:color w:val="000000" w:themeColor="text1"/>
          <w14:textFill>
            <w14:solidFill>
              <w14:schemeClr w14:val="tx1"/>
            </w14:solidFill>
          </w14:textFill>
        </w:rPr>
        <w:t>投资规模和资金来源</w:t>
      </w:r>
      <w:bookmarkEnd w:id="66"/>
      <w:bookmarkEnd w:id="67"/>
    </w:p>
    <w:p w14:paraId="0E0675A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本项目总投资包含红线内所有设施及红线外相关配套设施，同时本方案所指总投资仅包含一期相关费用，不包含二期费用。根据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提供的技术文件，本项目</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工程</w:t>
      </w:r>
      <w:r>
        <w:rPr>
          <w:rFonts w:hint="eastAsia"/>
          <w:color w:val="000000" w:themeColor="text1"/>
          <w:lang w:val="en-US" w:eastAsia="zh-CN"/>
          <w14:textFill>
            <w14:solidFill>
              <w14:schemeClr w14:val="tx1"/>
            </w14:solidFill>
          </w14:textFill>
        </w:rPr>
        <w:t>22669.58</w:t>
      </w:r>
      <w:r>
        <w:rPr>
          <w:rFonts w:hint="eastAsia"/>
          <w:color w:val="000000" w:themeColor="text1"/>
          <w14:textFill>
            <w14:solidFill>
              <w14:schemeClr w14:val="tx1"/>
            </w14:solidFill>
          </w14:textFill>
        </w:rPr>
        <w:t>万元，设备购置费1</w:t>
      </w:r>
      <w:r>
        <w:rPr>
          <w:rFonts w:hint="eastAsia"/>
          <w:color w:val="000000" w:themeColor="text1"/>
          <w:lang w:val="en-US" w:eastAsia="zh-CN"/>
          <w14:textFill>
            <w14:solidFill>
              <w14:schemeClr w14:val="tx1"/>
            </w14:solidFill>
          </w14:textFill>
        </w:rPr>
        <w:t>7590.50</w:t>
      </w:r>
      <w:r>
        <w:rPr>
          <w:rFonts w:hint="eastAsia"/>
          <w:color w:val="000000" w:themeColor="text1"/>
          <w14:textFill>
            <w14:solidFill>
              <w14:schemeClr w14:val="tx1"/>
            </w14:solidFill>
          </w14:textFill>
        </w:rPr>
        <w:t>万元，安装工程5</w:t>
      </w:r>
      <w:r>
        <w:rPr>
          <w:rFonts w:hint="eastAsia"/>
          <w:color w:val="000000" w:themeColor="text1"/>
          <w:lang w:val="en-US" w:eastAsia="zh-CN"/>
          <w14:textFill>
            <w14:solidFill>
              <w14:schemeClr w14:val="tx1"/>
            </w14:solidFill>
          </w14:textFill>
        </w:rPr>
        <w:t>248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1万元，工程费合计4</w:t>
      </w:r>
      <w:r>
        <w:rPr>
          <w:rFonts w:hint="eastAsia"/>
          <w:color w:val="000000" w:themeColor="text1"/>
          <w:lang w:val="en-US" w:eastAsia="zh-CN"/>
          <w14:textFill>
            <w14:solidFill>
              <w14:schemeClr w14:val="tx1"/>
            </w14:solidFill>
          </w14:textFill>
        </w:rPr>
        <w:t>5508.19</w:t>
      </w:r>
      <w:r>
        <w:rPr>
          <w:rFonts w:hint="eastAsia"/>
          <w:color w:val="000000" w:themeColor="text1"/>
          <w14:textFill>
            <w14:solidFill>
              <w14:schemeClr w14:val="tx1"/>
            </w14:solidFill>
          </w14:textFill>
        </w:rPr>
        <w:t>万元（含3000万红线外配套工程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若届时红线外配套费用超支，则超支部分由项目公司负责筹集并计入项目总投资，按项目调价原则执行</w:t>
      </w:r>
      <w:r>
        <w:rPr>
          <w:rFonts w:hint="eastAsia"/>
          <w:color w:val="000000" w:themeColor="text1"/>
          <w14:textFill>
            <w14:solidFill>
              <w14:schemeClr w14:val="tx1"/>
            </w14:solidFill>
          </w14:textFill>
        </w:rPr>
        <w:t>）；工程建设其他费用</w:t>
      </w:r>
      <w:r>
        <w:rPr>
          <w:rFonts w:hint="eastAsia"/>
          <w:color w:val="000000" w:themeColor="text1"/>
          <w:lang w:val="en-US" w:eastAsia="zh-CN"/>
          <w14:textFill>
            <w14:solidFill>
              <w14:schemeClr w14:val="tx1"/>
            </w14:solidFill>
          </w14:textFill>
        </w:rPr>
        <w:t>5547.68</w:t>
      </w:r>
      <w:r>
        <w:rPr>
          <w:rFonts w:hint="eastAsia"/>
          <w:color w:val="000000" w:themeColor="text1"/>
          <w14:textFill>
            <w14:solidFill>
              <w14:schemeClr w14:val="tx1"/>
            </w14:solidFill>
          </w14:textFill>
        </w:rPr>
        <w:t>万元，</w:t>
      </w:r>
      <w:r>
        <w:rPr>
          <w:rFonts w:hint="eastAsia"/>
          <w:color w:val="000000" w:themeColor="text1"/>
          <w:lang w:val="en-US" w:eastAsia="zh-CN"/>
          <w14:textFill>
            <w14:solidFill>
              <w14:schemeClr w14:val="tx1"/>
            </w14:solidFill>
          </w14:textFill>
        </w:rPr>
        <w:t>工程</w:t>
      </w:r>
      <w:r>
        <w:rPr>
          <w:rFonts w:hint="eastAsia"/>
          <w:color w:val="000000" w:themeColor="text1"/>
          <w14:textFill>
            <w14:solidFill>
              <w14:schemeClr w14:val="tx1"/>
            </w14:solidFill>
          </w14:textFill>
        </w:rPr>
        <w:t>预备费</w:t>
      </w:r>
      <w:r>
        <w:rPr>
          <w:rFonts w:hint="eastAsia"/>
          <w:color w:val="000000" w:themeColor="text1"/>
          <w:lang w:val="en-US" w:eastAsia="zh-CN"/>
          <w14:textFill>
            <w14:solidFill>
              <w14:schemeClr w14:val="tx1"/>
            </w14:solidFill>
          </w14:textFill>
        </w:rPr>
        <w:t>2489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万元，工程静态投资</w:t>
      </w:r>
      <w:r>
        <w:rPr>
          <w:rFonts w:hint="eastAsia"/>
          <w:color w:val="000000" w:themeColor="text1"/>
          <w:lang w:val="en-US" w:eastAsia="zh-CN"/>
          <w14:textFill>
            <w14:solidFill>
              <w14:schemeClr w14:val="tx1"/>
            </w14:solidFill>
          </w14:textFill>
        </w:rPr>
        <w:t>53545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47</w:t>
      </w:r>
      <w:r>
        <w:rPr>
          <w:rFonts w:hint="eastAsia"/>
          <w:color w:val="000000" w:themeColor="text1"/>
          <w14:textFill>
            <w14:solidFill>
              <w14:schemeClr w14:val="tx1"/>
            </w14:solidFill>
          </w14:textFill>
        </w:rPr>
        <w:t>万元；铺底流动资金2</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4万元，</w:t>
      </w:r>
      <w:r>
        <w:rPr>
          <w:rFonts w:hint="eastAsia"/>
          <w:color w:val="000000" w:themeColor="text1"/>
          <w:lang w:val="en-US" w:eastAsia="zh-CN"/>
          <w14:textFill>
            <w14:solidFill>
              <w14:schemeClr w14:val="tx1"/>
            </w14:solidFill>
          </w14:textFill>
        </w:rPr>
        <w:t>重新计算</w:t>
      </w:r>
      <w:r>
        <w:rPr>
          <w:rFonts w:hint="eastAsia"/>
          <w:color w:val="000000" w:themeColor="text1"/>
          <w14:textFill>
            <w14:solidFill>
              <w14:schemeClr w14:val="tx1"/>
            </w14:solidFill>
          </w14:textFill>
        </w:rPr>
        <w:t>建设期利息14</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88</w:t>
      </w:r>
      <w:r>
        <w:rPr>
          <w:rFonts w:hint="eastAsia"/>
          <w:color w:val="000000" w:themeColor="text1"/>
          <w14:textFill>
            <w14:solidFill>
              <w14:schemeClr w14:val="tx1"/>
            </w14:solidFill>
          </w14:textFill>
        </w:rPr>
        <w:t>万元，项目总投资</w:t>
      </w:r>
      <w:r>
        <w:rPr>
          <w:rFonts w:hint="eastAsia"/>
          <w:color w:val="000000" w:themeColor="text1"/>
          <w:lang w:val="en-US" w:eastAsia="zh-CN"/>
          <w14:textFill>
            <w14:solidFill>
              <w14:schemeClr w14:val="tx1"/>
            </w14:solidFill>
          </w14:textFill>
        </w:rPr>
        <w:t>55209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79</w:t>
      </w:r>
      <w:r>
        <w:rPr>
          <w:rFonts w:hint="eastAsia"/>
          <w:color w:val="000000" w:themeColor="text1"/>
          <w14:textFill>
            <w14:solidFill>
              <w14:schemeClr w14:val="tx1"/>
            </w14:solidFill>
          </w14:textFill>
        </w:rPr>
        <w:t>万元。项目总投资以项目可研、初步设计概算及施工图预算进行动态调整。</w:t>
      </w:r>
    </w:p>
    <w:p w14:paraId="28DC94AF">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项目总投资明细表</w:t>
      </w:r>
    </w:p>
    <w:tbl>
      <w:tblPr>
        <w:tblStyle w:val="25"/>
        <w:tblW w:w="4999" w:type="pct"/>
        <w:tblInd w:w="0" w:type="dxa"/>
        <w:tblLayout w:type="autofit"/>
        <w:tblCellMar>
          <w:top w:w="0" w:type="dxa"/>
          <w:left w:w="108" w:type="dxa"/>
          <w:bottom w:w="0" w:type="dxa"/>
          <w:right w:w="108" w:type="dxa"/>
        </w:tblCellMar>
      </w:tblPr>
      <w:tblGrid>
        <w:gridCol w:w="801"/>
        <w:gridCol w:w="4338"/>
        <w:gridCol w:w="1960"/>
        <w:gridCol w:w="1421"/>
      </w:tblGrid>
      <w:tr w14:paraId="7A2E3374">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3140D192">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序号</w:t>
            </w:r>
          </w:p>
        </w:tc>
        <w:tc>
          <w:tcPr>
            <w:tcW w:w="25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1EB49945">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名称</w:t>
            </w:r>
          </w:p>
        </w:tc>
        <w:tc>
          <w:tcPr>
            <w:tcW w:w="115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1168ADA2">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数值</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14:paraId="77D9D0DA">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单位</w:t>
            </w:r>
          </w:p>
        </w:tc>
      </w:tr>
      <w:tr w14:paraId="42B14DEC">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8D782">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0858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工程费用</w:t>
            </w:r>
            <w:r>
              <w:rPr>
                <w:rFonts w:hint="eastAsia" w:ascii="仿宋" w:hAnsi="仿宋" w:cs="仿宋"/>
                <w:color w:val="000000" w:themeColor="text1"/>
                <w:kern w:val="0"/>
                <w:sz w:val="24"/>
                <w:szCs w:val="24"/>
                <w:lang w:eastAsia="zh-CN" w:bidi="ar"/>
                <w14:textFill>
                  <w14:solidFill>
                    <w14:schemeClr w14:val="tx1"/>
                  </w14:solidFill>
                </w14:textFill>
              </w:rPr>
              <w:t>（</w:t>
            </w:r>
            <w:r>
              <w:rPr>
                <w:rFonts w:hint="eastAsia" w:ascii="仿宋" w:hAnsi="仿宋" w:cs="仿宋"/>
                <w:color w:val="000000" w:themeColor="text1"/>
                <w:kern w:val="0"/>
                <w:sz w:val="24"/>
                <w:szCs w:val="24"/>
                <w:lang w:val="en-US" w:eastAsia="zh-CN" w:bidi="ar"/>
                <w14:textFill>
                  <w14:solidFill>
                    <w14:schemeClr w14:val="tx1"/>
                  </w14:solidFill>
                </w14:textFill>
              </w:rPr>
              <w:t>包含红线外配套3000万</w:t>
            </w:r>
            <w:r>
              <w:rPr>
                <w:rFonts w:hint="eastAsia" w:ascii="仿宋" w:hAnsi="仿宋" w:cs="仿宋"/>
                <w:color w:val="000000" w:themeColor="text1"/>
                <w:kern w:val="0"/>
                <w:sz w:val="24"/>
                <w:szCs w:val="24"/>
                <w:lang w:eastAsia="zh-CN" w:bidi="ar"/>
                <w14:textFill>
                  <w14:solidFill>
                    <w14:schemeClr w14:val="tx1"/>
                  </w14:solidFill>
                </w14:textFill>
              </w:rPr>
              <w:t>）</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E28D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45508.19</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263F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0B815173">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73F1D">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CEFF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工程建设其他费用</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F76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5547.68</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1CDC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6CAD3863">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E54A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3A85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其中</w:t>
            </w:r>
            <w:r>
              <w:rPr>
                <w:rFonts w:hint="eastAsia" w:ascii="仿宋" w:hAnsi="仿宋" w:cs="仿宋"/>
                <w:color w:val="000000" w:themeColor="text1"/>
                <w:kern w:val="0"/>
                <w:sz w:val="24"/>
                <w:szCs w:val="24"/>
                <w:lang w:bidi="ar"/>
                <w14:textFill>
                  <w14:solidFill>
                    <w14:schemeClr w14:val="tx1"/>
                  </w14:solidFill>
                </w14:textFill>
              </w:rPr>
              <w:t>征地拆迁费</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E320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126</w:t>
            </w:r>
            <w:r>
              <w:rPr>
                <w:rFonts w:hint="eastAsia" w:ascii="仿宋" w:hAnsi="仿宋" w:cs="仿宋"/>
                <w:color w:val="000000" w:themeColor="text1"/>
                <w:kern w:val="0"/>
                <w:sz w:val="24"/>
                <w:szCs w:val="24"/>
                <w:lang w:val="en-US" w:eastAsia="zh-CN" w:bidi="ar"/>
                <w14:textFill>
                  <w14:solidFill>
                    <w14:schemeClr w14:val="tx1"/>
                  </w14:solidFill>
                </w14:textFill>
              </w:rPr>
              <w:t>3</w:t>
            </w:r>
            <w:r>
              <w:rPr>
                <w:rFonts w:hint="eastAsia" w:ascii="仿宋" w:hAnsi="仿宋" w:cs="仿宋"/>
                <w:color w:val="000000" w:themeColor="text1"/>
                <w:kern w:val="0"/>
                <w:sz w:val="24"/>
                <w:szCs w:val="24"/>
                <w:lang w:bidi="ar"/>
                <w14:textFill>
                  <w14:solidFill>
                    <w14:schemeClr w14:val="tx1"/>
                  </w14:solidFill>
                </w14:textFill>
              </w:rPr>
              <w:t>.</w:t>
            </w:r>
            <w:r>
              <w:rPr>
                <w:rFonts w:hint="eastAsia" w:ascii="仿宋" w:hAnsi="仿宋" w:cs="仿宋"/>
                <w:color w:val="000000" w:themeColor="text1"/>
                <w:kern w:val="0"/>
                <w:sz w:val="24"/>
                <w:szCs w:val="24"/>
                <w:lang w:val="en-US" w:eastAsia="zh-CN" w:bidi="ar"/>
                <w14:textFill>
                  <w14:solidFill>
                    <w14:schemeClr w14:val="tx1"/>
                  </w14:solidFill>
                </w14:textFill>
              </w:rPr>
              <w:t>90</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20C4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0EC98FCF">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91A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4</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75A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预备费</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0B3B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2489.60</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B500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0D053AF8">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EB0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5</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F158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建设投资合计</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8B5E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53545</w:t>
            </w:r>
            <w:r>
              <w:rPr>
                <w:rFonts w:hint="eastAsia" w:ascii="仿宋" w:hAnsi="仿宋" w:cs="仿宋"/>
                <w:color w:val="000000" w:themeColor="text1"/>
                <w:kern w:val="0"/>
                <w:sz w:val="24"/>
                <w:szCs w:val="24"/>
                <w:lang w:bidi="ar"/>
                <w14:textFill>
                  <w14:solidFill>
                    <w14:schemeClr w14:val="tx1"/>
                  </w14:solidFill>
                </w14:textFill>
              </w:rPr>
              <w:t>.</w:t>
            </w:r>
            <w:r>
              <w:rPr>
                <w:rFonts w:hint="eastAsia" w:ascii="仿宋" w:hAnsi="仿宋" w:cs="仿宋"/>
                <w:color w:val="000000" w:themeColor="text1"/>
                <w:kern w:val="0"/>
                <w:sz w:val="24"/>
                <w:szCs w:val="24"/>
                <w:lang w:val="en-US" w:eastAsia="zh-CN" w:bidi="ar"/>
                <w14:textFill>
                  <w14:solidFill>
                    <w14:schemeClr w14:val="tx1"/>
                  </w14:solidFill>
                </w14:textFill>
              </w:rPr>
              <w:t>47</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82A8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69BDEB6F">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3E4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6</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2B98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建设期利息</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3273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14</w:t>
            </w:r>
            <w:r>
              <w:rPr>
                <w:rFonts w:hint="eastAsia" w:ascii="仿宋" w:hAnsi="仿宋" w:cs="仿宋"/>
                <w:color w:val="000000" w:themeColor="text1"/>
                <w:kern w:val="0"/>
                <w:sz w:val="24"/>
                <w:szCs w:val="24"/>
                <w:lang w:val="en-US" w:eastAsia="zh-CN" w:bidi="ar"/>
                <w14:textFill>
                  <w14:solidFill>
                    <w14:schemeClr w14:val="tx1"/>
                  </w14:solidFill>
                </w14:textFill>
              </w:rPr>
              <w:t>2</w:t>
            </w:r>
            <w:r>
              <w:rPr>
                <w:rFonts w:hint="eastAsia" w:ascii="仿宋" w:hAnsi="仿宋" w:cs="仿宋"/>
                <w:color w:val="000000" w:themeColor="text1"/>
                <w:kern w:val="0"/>
                <w:sz w:val="24"/>
                <w:szCs w:val="24"/>
                <w:lang w:bidi="ar"/>
                <w14:textFill>
                  <w14:solidFill>
                    <w14:schemeClr w14:val="tx1"/>
                  </w14:solidFill>
                </w14:textFill>
              </w:rPr>
              <w:t>0.</w:t>
            </w:r>
            <w:r>
              <w:rPr>
                <w:rFonts w:hint="eastAsia" w:ascii="仿宋" w:hAnsi="仿宋" w:cs="仿宋"/>
                <w:color w:val="000000" w:themeColor="text1"/>
                <w:kern w:val="0"/>
                <w:sz w:val="24"/>
                <w:szCs w:val="24"/>
                <w:lang w:val="en-US" w:eastAsia="zh-CN" w:bidi="ar"/>
                <w14:textFill>
                  <w14:solidFill>
                    <w14:schemeClr w14:val="tx1"/>
                  </w14:solidFill>
                </w14:textFill>
              </w:rPr>
              <w:t>88</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50A6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14A4AA1A">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DFA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7</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F35D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铺底流动资金</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2892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w:t>
            </w:r>
            <w:r>
              <w:rPr>
                <w:rFonts w:hint="eastAsia" w:ascii="仿宋" w:hAnsi="仿宋" w:cs="仿宋"/>
                <w:color w:val="000000" w:themeColor="text1"/>
                <w:kern w:val="0"/>
                <w:sz w:val="24"/>
                <w:szCs w:val="24"/>
                <w:lang w:val="en-US" w:eastAsia="zh-CN" w:bidi="ar"/>
                <w14:textFill>
                  <w14:solidFill>
                    <w14:schemeClr w14:val="tx1"/>
                  </w14:solidFill>
                </w14:textFill>
              </w:rPr>
              <w:t>43</w:t>
            </w:r>
            <w:r>
              <w:rPr>
                <w:rFonts w:hint="eastAsia" w:ascii="仿宋" w:hAnsi="仿宋" w:cs="仿宋"/>
                <w:color w:val="000000" w:themeColor="text1"/>
                <w:kern w:val="0"/>
                <w:sz w:val="24"/>
                <w:szCs w:val="24"/>
                <w:lang w:bidi="ar"/>
                <w14:textFill>
                  <w14:solidFill>
                    <w14:schemeClr w14:val="tx1"/>
                  </w14:solidFill>
                </w14:textFill>
              </w:rPr>
              <w:t>.</w:t>
            </w:r>
            <w:r>
              <w:rPr>
                <w:rFonts w:hint="eastAsia" w:ascii="仿宋" w:hAnsi="仿宋" w:cs="仿宋"/>
                <w:color w:val="000000" w:themeColor="text1"/>
                <w:kern w:val="0"/>
                <w:sz w:val="24"/>
                <w:szCs w:val="24"/>
                <w:lang w:val="en-US" w:eastAsia="zh-CN" w:bidi="ar"/>
                <w14:textFill>
                  <w14:solidFill>
                    <w14:schemeClr w14:val="tx1"/>
                  </w14:solidFill>
                </w14:textFill>
              </w:rPr>
              <w:t>4</w:t>
            </w:r>
            <w:r>
              <w:rPr>
                <w:rFonts w:hint="eastAsia" w:ascii="仿宋" w:hAnsi="仿宋" w:cs="仿宋"/>
                <w:color w:val="000000" w:themeColor="text1"/>
                <w:kern w:val="0"/>
                <w:sz w:val="24"/>
                <w:szCs w:val="24"/>
                <w:lang w:bidi="ar"/>
                <w14:textFill>
                  <w14:solidFill>
                    <w14:schemeClr w14:val="tx1"/>
                  </w14:solidFill>
                </w14:textFill>
              </w:rPr>
              <w:t>4</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448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w:t>
            </w:r>
          </w:p>
        </w:tc>
      </w:tr>
      <w:tr w14:paraId="7179E70F">
        <w:tblPrEx>
          <w:tblCellMar>
            <w:top w:w="0" w:type="dxa"/>
            <w:left w:w="108" w:type="dxa"/>
            <w:bottom w:w="0" w:type="dxa"/>
            <w:right w:w="108" w:type="dxa"/>
          </w:tblCellMar>
        </w:tblPrEx>
        <w:trPr>
          <w:trHeight w:val="400" w:hRule="atLeast"/>
        </w:trPr>
        <w:tc>
          <w:tcPr>
            <w:tcW w:w="4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E5B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000000" w:themeColor="text1"/>
                <w:sz w:val="24"/>
                <w:szCs w:val="24"/>
                <w:lang w:eastAsia="zh-CN"/>
                <w14:textFill>
                  <w14:solidFill>
                    <w14:schemeClr w14:val="tx1"/>
                  </w14:solidFill>
                </w14:textFill>
              </w:rPr>
            </w:pPr>
            <w:r>
              <w:rPr>
                <w:rFonts w:hint="eastAsia" w:ascii="仿宋" w:hAnsi="仿宋" w:cs="仿宋"/>
                <w:bCs/>
                <w:color w:val="000000" w:themeColor="text1"/>
                <w:kern w:val="0"/>
                <w:sz w:val="24"/>
                <w:szCs w:val="24"/>
                <w:lang w:val="en-US" w:eastAsia="zh-CN" w:bidi="ar"/>
                <w14:textFill>
                  <w14:solidFill>
                    <w14:schemeClr w14:val="tx1"/>
                  </w14:solidFill>
                </w14:textFill>
              </w:rPr>
              <w:t>8</w:t>
            </w:r>
          </w:p>
        </w:tc>
        <w:tc>
          <w:tcPr>
            <w:tcW w:w="25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FA01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bCs/>
                <w:color w:val="000000" w:themeColor="text1"/>
                <w:sz w:val="24"/>
                <w:szCs w:val="24"/>
                <w14:textFill>
                  <w14:solidFill>
                    <w14:schemeClr w14:val="tx1"/>
                  </w14:solidFill>
                </w14:textFill>
              </w:rPr>
            </w:pPr>
            <w:r>
              <w:rPr>
                <w:rFonts w:hint="eastAsia" w:ascii="仿宋" w:hAnsi="仿宋" w:cs="仿宋"/>
                <w:bCs/>
                <w:color w:val="000000" w:themeColor="text1"/>
                <w:kern w:val="0"/>
                <w:sz w:val="24"/>
                <w:szCs w:val="24"/>
                <w:lang w:bidi="ar"/>
                <w14:textFill>
                  <w14:solidFill>
                    <w14:schemeClr w14:val="tx1"/>
                  </w14:solidFill>
                </w14:textFill>
              </w:rPr>
              <w:t>总投资</w:t>
            </w:r>
          </w:p>
        </w:tc>
        <w:tc>
          <w:tcPr>
            <w:tcW w:w="11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E4F1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仿宋" w:hAnsi="仿宋" w:eastAsia="仿宋" w:cs="仿宋"/>
                <w:bCs/>
                <w:color w:val="000000" w:themeColor="text1"/>
                <w:sz w:val="24"/>
                <w:szCs w:val="24"/>
                <w:lang w:val="en-US" w:eastAsia="zh-CN"/>
                <w14:textFill>
                  <w14:solidFill>
                    <w14:schemeClr w14:val="tx1"/>
                  </w14:solidFill>
                </w14:textFill>
              </w:rPr>
            </w:pPr>
            <w:r>
              <w:rPr>
                <w:rFonts w:hint="eastAsia" w:ascii="仿宋" w:hAnsi="仿宋" w:cs="仿宋"/>
                <w:bCs/>
                <w:color w:val="000000" w:themeColor="text1"/>
                <w:kern w:val="0"/>
                <w:sz w:val="24"/>
                <w:szCs w:val="24"/>
                <w:lang w:val="en-US" w:eastAsia="zh-CN" w:bidi="ar"/>
                <w14:textFill>
                  <w14:solidFill>
                    <w14:schemeClr w14:val="tx1"/>
                  </w14:solidFill>
                </w14:textFill>
              </w:rPr>
              <w:t>55209</w:t>
            </w:r>
            <w:r>
              <w:rPr>
                <w:rFonts w:hint="eastAsia" w:ascii="仿宋" w:hAnsi="仿宋" w:cs="仿宋"/>
                <w:bCs/>
                <w:color w:val="000000" w:themeColor="text1"/>
                <w:kern w:val="0"/>
                <w:sz w:val="24"/>
                <w:szCs w:val="24"/>
                <w:lang w:bidi="ar"/>
                <w14:textFill>
                  <w14:solidFill>
                    <w14:schemeClr w14:val="tx1"/>
                  </w14:solidFill>
                </w14:textFill>
              </w:rPr>
              <w:t>.</w:t>
            </w:r>
            <w:r>
              <w:rPr>
                <w:rFonts w:hint="eastAsia" w:ascii="仿宋" w:hAnsi="仿宋" w:cs="仿宋"/>
                <w:bCs/>
                <w:color w:val="000000" w:themeColor="text1"/>
                <w:kern w:val="0"/>
                <w:sz w:val="24"/>
                <w:szCs w:val="24"/>
                <w:lang w:val="en-US" w:eastAsia="zh-CN" w:bidi="ar"/>
                <w14:textFill>
                  <w14:solidFill>
                    <w14:schemeClr w14:val="tx1"/>
                  </w14:solidFill>
                </w14:textFill>
              </w:rPr>
              <w:t>79</w:t>
            </w:r>
          </w:p>
        </w:tc>
        <w:tc>
          <w:tcPr>
            <w:tcW w:w="8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C843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cs="仿宋"/>
                <w:bCs/>
                <w:color w:val="000000" w:themeColor="text1"/>
                <w:sz w:val="24"/>
                <w:szCs w:val="24"/>
                <w14:textFill>
                  <w14:solidFill>
                    <w14:schemeClr w14:val="tx1"/>
                  </w14:solidFill>
                </w14:textFill>
              </w:rPr>
            </w:pPr>
            <w:r>
              <w:rPr>
                <w:rFonts w:hint="eastAsia" w:ascii="仿宋" w:hAnsi="仿宋" w:cs="仿宋"/>
                <w:bCs/>
                <w:color w:val="000000" w:themeColor="text1"/>
                <w:kern w:val="0"/>
                <w:sz w:val="24"/>
                <w:szCs w:val="24"/>
                <w:lang w:bidi="ar"/>
                <w14:textFill>
                  <w14:solidFill>
                    <w14:schemeClr w14:val="tx1"/>
                  </w14:solidFill>
                </w14:textFill>
              </w:rPr>
              <w:t>万元</w:t>
            </w:r>
          </w:p>
        </w:tc>
      </w:tr>
    </w:tbl>
    <w:p w14:paraId="6CA20EA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本项目拟采用特许经营模式实施，项目</w:t>
      </w:r>
      <w:r>
        <w:rPr>
          <w:rFonts w:hint="eastAsia"/>
          <w:color w:val="000000" w:themeColor="text1"/>
          <w:lang w:val="en-US" w:eastAsia="zh-CN"/>
          <w14:textFill>
            <w14:solidFill>
              <w14:schemeClr w14:val="tx1"/>
            </w14:solidFill>
          </w14:textFill>
        </w:rPr>
        <w:t>注册</w:t>
      </w:r>
      <w:r>
        <w:rPr>
          <w:rFonts w:hint="eastAsia"/>
          <w:color w:val="000000" w:themeColor="text1"/>
          <w14:textFill>
            <w14:solidFill>
              <w14:schemeClr w14:val="tx1"/>
            </w14:solidFill>
          </w14:textFill>
        </w:rPr>
        <w:t>资本金由依法选定的特许经营者和政府出资代表出资，其余资金由项目公司负责筹措。</w:t>
      </w:r>
    </w:p>
    <w:p w14:paraId="5873E018">
      <w:pPr>
        <w:pStyle w:val="6"/>
        <w:spacing w:before="156" w:after="156"/>
        <w:outlineLvl w:val="2"/>
        <w:rPr>
          <w:color w:val="000000" w:themeColor="text1"/>
          <w14:textFill>
            <w14:solidFill>
              <w14:schemeClr w14:val="tx1"/>
            </w14:solidFill>
          </w14:textFill>
        </w:rPr>
      </w:pPr>
      <w:bookmarkStart w:id="68" w:name="_Toc18983"/>
      <w:bookmarkStart w:id="69" w:name="_Toc13857"/>
      <w:r>
        <w:rPr>
          <w:rFonts w:hint="eastAsia"/>
          <w:color w:val="000000" w:themeColor="text1"/>
          <w:lang w:val="en-US" w:eastAsia="zh-CN"/>
          <w14:textFill>
            <w14:solidFill>
              <w14:schemeClr w14:val="tx1"/>
            </w14:solidFill>
          </w14:textFill>
        </w:rPr>
        <w:t>建设投资控制措施</w:t>
      </w:r>
      <w:bookmarkEnd w:id="68"/>
    </w:p>
    <w:p w14:paraId="0A91EC88">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明确投资估算和概算</w:t>
      </w:r>
    </w:p>
    <w:p w14:paraId="0248C79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‌投资估算‌：在项目</w:t>
      </w:r>
      <w:r>
        <w:rPr>
          <w:rFonts w:hint="eastAsia"/>
          <w:color w:val="000000" w:themeColor="text1"/>
          <w:lang w:val="en-US" w:eastAsia="zh-CN"/>
          <w14:textFill>
            <w14:solidFill>
              <w14:schemeClr w14:val="tx1"/>
            </w14:solidFill>
          </w14:textFill>
        </w:rPr>
        <w:t>可研</w:t>
      </w:r>
      <w:r>
        <w:rPr>
          <w:rFonts w:hint="eastAsia"/>
          <w:color w:val="000000" w:themeColor="text1"/>
          <w14:textFill>
            <w14:solidFill>
              <w14:schemeClr w14:val="tx1"/>
            </w14:solidFill>
          </w14:textFill>
        </w:rPr>
        <w:t>阶段，应进行深入细致的投资估算，确保估算结果达到规定深度，作为后续设计和施工的重要参考。投资估算应充分考虑各种因素，包括土建工程、设备及安装工程、专项检测及验收费用等，确保估算结果的准确性和可靠性。</w:t>
      </w:r>
    </w:p>
    <w:p w14:paraId="0D63D6C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初步设计概算‌：在初步设计阶段，应确定合理的概算基础资料，力求设计概算准确、公正。造价从业人员需从工艺角度出发，全面梳理建筑工程、设备安装工程的内容等是否完整，设计深度是否达到要求。同时，需考虑专项检测、专项验收等其他费用，确保概算的全面性。</w:t>
      </w:r>
    </w:p>
    <w:p w14:paraId="47C5C5EC">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加强招投标管理</w:t>
      </w:r>
    </w:p>
    <w:p w14:paraId="3B9F6AE6">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依法需进行招标的需由项目公司采用EPC等合规模式进行发包。</w:t>
      </w:r>
    </w:p>
    <w:p w14:paraId="4119C70C">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优化施工过程控制</w:t>
      </w:r>
    </w:p>
    <w:p w14:paraId="177C53E2">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强签证及变更管理‌：在施工过程中，应严格控制签证及变更的工程造价。对于施工方提出的变更要求，应充分考虑其必要性及合理性，避免不必要的工程造价增加。签证的审核应重点判别该事项是否属于合同范围内以及辨别责任方。</w:t>
      </w:r>
    </w:p>
    <w:p w14:paraId="5C0A3842">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‌建立成本监控网络‌：</w:t>
      </w: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公司应与施工方配合，建立有效的成本控制网络。例如，对项目施工方派驻成本控制专员、定期对项目财务内容进行审核等，确保施工过程中的成本控制得到有效执行。</w:t>
      </w:r>
    </w:p>
    <w:p w14:paraId="48E05CF4">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引入第三方管理</w:t>
      </w:r>
    </w:p>
    <w:p w14:paraId="62EFDD06">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‌聘请第三方参与管理‌：为提高项目施工过程中的造价管理水平，可以聘请第三方（如造价</w:t>
      </w:r>
      <w:r>
        <w:rPr>
          <w:rFonts w:hint="eastAsia"/>
          <w:color w:val="000000" w:themeColor="text1"/>
          <w:lang w:val="en-US" w:eastAsia="zh-CN"/>
          <w14:textFill>
            <w14:solidFill>
              <w14:schemeClr w14:val="tx1"/>
            </w14:solidFill>
          </w14:textFill>
        </w:rPr>
        <w:t>咨询</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全过程咨询</w:t>
      </w:r>
      <w:r>
        <w:rPr>
          <w:rFonts w:hint="eastAsia"/>
          <w:color w:val="000000" w:themeColor="text1"/>
          <w14:textFill>
            <w14:solidFill>
              <w14:schemeClr w14:val="tx1"/>
            </w14:solidFill>
          </w14:textFill>
        </w:rPr>
        <w:t>等）参与管理。第三方专业人员可以提供专业的造价咨询和审核服务，帮助项目方及时发现和纠正造价管理中的问题。</w:t>
      </w:r>
    </w:p>
    <w:p w14:paraId="6F40562D">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强化政府监管和协调</w:t>
      </w:r>
    </w:p>
    <w:p w14:paraId="40362D2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‌政府监管‌：政府应加强对项目建设的监管力度，确保项目按照特许经营协议和相关法规进行建设。对于建设过程中出现的问题，政府应及时协调解决，避免影响项目进度和投资控制。</w:t>
      </w:r>
    </w:p>
    <w:p w14:paraId="1F152A79">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‌政策支持和协调‌：政府应提供必要的政策支持和协调服务，帮助项目方解决在融资、土地、环保等方面的问题，降低项目建设的风险和成本</w:t>
      </w:r>
      <w:r>
        <w:rPr>
          <w:rFonts w:hint="eastAsia"/>
          <w:color w:val="000000" w:themeColor="text1"/>
          <w:lang w:eastAsia="zh-CN"/>
          <w14:textFill>
            <w14:solidFill>
              <w14:schemeClr w14:val="tx1"/>
            </w14:solidFill>
          </w14:textFill>
        </w:rPr>
        <w:t>。</w:t>
      </w:r>
    </w:p>
    <w:p w14:paraId="20180AC9">
      <w:pPr>
        <w:pStyle w:val="6"/>
        <w:spacing w:before="156" w:after="156"/>
        <w:outlineLvl w:val="2"/>
        <w:rPr>
          <w:color w:val="000000" w:themeColor="text1"/>
          <w14:textFill>
            <w14:solidFill>
              <w14:schemeClr w14:val="tx1"/>
            </w14:solidFill>
          </w14:textFill>
        </w:rPr>
      </w:pPr>
      <w:bookmarkStart w:id="70" w:name="_Toc8123"/>
      <w:r>
        <w:rPr>
          <w:rFonts w:hint="eastAsia"/>
          <w:color w:val="000000" w:themeColor="text1"/>
          <w14:textFill>
            <w14:solidFill>
              <w14:schemeClr w14:val="tx1"/>
            </w14:solidFill>
          </w14:textFill>
        </w:rPr>
        <w:t>主要需求和产出</w:t>
      </w:r>
      <w:bookmarkEnd w:id="69"/>
      <w:bookmarkEnd w:id="70"/>
    </w:p>
    <w:p w14:paraId="556281D5">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主要需求</w:t>
      </w:r>
    </w:p>
    <w:p w14:paraId="3F1BA6C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垃圾收处范围为包头市两座生活垃圾填埋场原来服务范围。目前两座生活垃圾填埋场原来服务范围处理方式均是卫生填埋，随着填埋场库容日益紧张，并且生活垃圾填埋处理方式已经开始逐渐被国家所淘汰，建设新的节能环保的垃圾处理设施成为当务之急。</w:t>
      </w:r>
    </w:p>
    <w:p w14:paraId="22DA682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本项目目标为通过资源化循环利用的理念处理包头市生活垃圾，项目建成后，垃圾收运及处理将实现包头市域原先两座填埋场服务范围100%覆盖，提高垃圾入炉量，使更多的垃圾进行资源化减量化利用。</w:t>
      </w:r>
    </w:p>
    <w:p w14:paraId="2FD97E2D">
      <w:pPr>
        <w:pStyle w:val="7"/>
        <w:ind w:firstLine="562"/>
        <w:rPr>
          <w:color w:val="000000" w:themeColor="text1"/>
          <w14:textFill>
            <w14:solidFill>
              <w14:schemeClr w14:val="tx1"/>
            </w14:solidFill>
          </w14:textFill>
        </w:rPr>
      </w:pPr>
      <w:bookmarkStart w:id="71" w:name="_Toc11407864"/>
      <w:bookmarkStart w:id="72" w:name="_Toc41591086"/>
      <w:bookmarkStart w:id="73" w:name="_Toc59113298"/>
      <w:bookmarkStart w:id="74" w:name="_Toc26874"/>
      <w:bookmarkStart w:id="75" w:name="_Toc43278529"/>
      <w:bookmarkStart w:id="76" w:name="_Toc41559564"/>
      <w:bookmarkStart w:id="77" w:name="_Toc25468"/>
      <w:bookmarkStart w:id="78" w:name="_Toc43228457"/>
      <w:bookmarkStart w:id="79" w:name="_Toc11405535"/>
      <w:bookmarkStart w:id="80" w:name="_Toc31077"/>
      <w:bookmarkStart w:id="81" w:name="_Toc41636118"/>
      <w:bookmarkStart w:id="82" w:name="_Toc41055833"/>
      <w:r>
        <w:rPr>
          <w:color w:val="000000" w:themeColor="text1"/>
          <w14:textFill>
            <w14:solidFill>
              <w14:schemeClr w14:val="tx1"/>
            </w14:solidFill>
          </w14:textFill>
        </w:rPr>
        <w:t>项目直接产出</w:t>
      </w:r>
      <w:bookmarkEnd w:id="71"/>
      <w:bookmarkEnd w:id="72"/>
      <w:bookmarkEnd w:id="73"/>
      <w:bookmarkEnd w:id="74"/>
      <w:bookmarkEnd w:id="75"/>
      <w:bookmarkEnd w:id="76"/>
      <w:bookmarkEnd w:id="77"/>
      <w:bookmarkEnd w:id="78"/>
      <w:bookmarkEnd w:id="79"/>
      <w:bookmarkEnd w:id="80"/>
      <w:bookmarkEnd w:id="81"/>
      <w:bookmarkEnd w:id="82"/>
    </w:p>
    <w:p w14:paraId="45CA4310">
      <w:pPr>
        <w:numPr>
          <w:ilvl w:val="0"/>
          <w:numId w:val="0"/>
        </w:numPr>
        <w:ind w:firstLine="560" w:firstLineChars="200"/>
        <w:rPr>
          <w:rFonts w:hint="eastAsia" w:ascii="仿宋" w:hAnsi="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包头市垃圾焚烧发电项目远期设计总规模为日处理垃圾1200吨，分两期建设。本项目为建设一期工程，建设规模为日处理垃圾800吨，包含建设一座日处理800吨的生活垃圾焚烧发电厂，采用2×400吨/日的焚烧线，配置2×400吨/日机械炉排垃圾焚烧炉和1台18MW抽凝式汽轮发电机组，年发电量8924.4万kW·h。</w:t>
      </w:r>
    </w:p>
    <w:p w14:paraId="3973D64B">
      <w:pPr>
        <w:pStyle w:val="7"/>
        <w:ind w:firstLine="562"/>
        <w:rPr>
          <w:color w:val="000000" w:themeColor="text1"/>
          <w14:textFill>
            <w14:solidFill>
              <w14:schemeClr w14:val="tx1"/>
            </w14:solidFill>
          </w14:textFill>
        </w:rPr>
      </w:pPr>
      <w:bookmarkStart w:id="83" w:name="_Toc41055834"/>
      <w:bookmarkStart w:id="84" w:name="_Toc41636119"/>
      <w:bookmarkStart w:id="85" w:name="_Toc41591087"/>
      <w:bookmarkStart w:id="86" w:name="_Toc28274"/>
      <w:bookmarkStart w:id="87" w:name="_Toc59113299"/>
      <w:bookmarkStart w:id="88" w:name="_Toc11407865"/>
      <w:bookmarkStart w:id="89" w:name="_Toc11405536"/>
      <w:bookmarkStart w:id="90" w:name="_Toc41559565"/>
      <w:bookmarkStart w:id="91" w:name="_Toc29152"/>
      <w:bookmarkStart w:id="92" w:name="_Toc43228458"/>
      <w:bookmarkStart w:id="93" w:name="_Toc9542"/>
      <w:bookmarkStart w:id="94" w:name="_Toc43278530"/>
      <w:r>
        <w:rPr>
          <w:color w:val="000000" w:themeColor="text1"/>
          <w14:textFill>
            <w14:solidFill>
              <w14:schemeClr w14:val="tx1"/>
            </w14:solidFill>
          </w14:textFill>
        </w:rPr>
        <w:t>项目间接产出</w:t>
      </w:r>
      <w:bookmarkEnd w:id="83"/>
      <w:bookmarkEnd w:id="84"/>
      <w:bookmarkEnd w:id="85"/>
      <w:bookmarkEnd w:id="86"/>
      <w:bookmarkEnd w:id="87"/>
      <w:bookmarkEnd w:id="88"/>
      <w:bookmarkEnd w:id="89"/>
      <w:bookmarkEnd w:id="90"/>
      <w:bookmarkEnd w:id="91"/>
      <w:bookmarkEnd w:id="92"/>
      <w:bookmarkEnd w:id="93"/>
      <w:bookmarkEnd w:id="94"/>
    </w:p>
    <w:p w14:paraId="2BF0DDE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实施本项目将对</w:t>
      </w:r>
      <w:r>
        <w:rPr>
          <w:rFonts w:hint="eastAsia"/>
          <w:color w:val="000000" w:themeColor="text1"/>
          <w14:textFill>
            <w14:solidFill>
              <w14:schemeClr w14:val="tx1"/>
            </w14:solidFill>
          </w14:textFill>
        </w:rPr>
        <w:t>包头市产生</w:t>
      </w:r>
      <w:r>
        <w:rPr>
          <w:color w:val="000000" w:themeColor="text1"/>
          <w14:textFill>
            <w14:solidFill>
              <w14:schemeClr w14:val="tx1"/>
            </w14:solidFill>
          </w14:textFill>
        </w:rPr>
        <w:t>以下积极影响：</w:t>
      </w:r>
    </w:p>
    <w:p w14:paraId="527EAF67">
      <w:pPr>
        <w:pStyle w:val="8"/>
        <w:ind w:left="-2" w:firstLineChars="0"/>
        <w:rPr>
          <w:color w:val="000000" w:themeColor="text1"/>
          <w14:textFill>
            <w14:solidFill>
              <w14:schemeClr w14:val="tx1"/>
            </w14:solidFill>
          </w14:textFill>
        </w:rPr>
      </w:pPr>
      <w:r>
        <w:rPr>
          <w:color w:val="000000" w:themeColor="text1"/>
          <w14:textFill>
            <w14:solidFill>
              <w14:schemeClr w14:val="tx1"/>
            </w14:solidFill>
          </w14:textFill>
        </w:rPr>
        <w:t>减少</w:t>
      </w:r>
      <w:r>
        <w:rPr>
          <w:rFonts w:hint="eastAsia"/>
          <w:color w:val="000000" w:themeColor="text1"/>
          <w14:textFill>
            <w14:solidFill>
              <w14:schemeClr w14:val="tx1"/>
            </w14:solidFill>
          </w14:textFill>
        </w:rPr>
        <w:t>生态</w:t>
      </w:r>
      <w:r>
        <w:rPr>
          <w:color w:val="000000" w:themeColor="text1"/>
          <w14:textFill>
            <w14:solidFill>
              <w14:schemeClr w14:val="tx1"/>
            </w14:solidFill>
          </w14:textFill>
        </w:rPr>
        <w:t>环境污染，</w:t>
      </w:r>
      <w:r>
        <w:rPr>
          <w:rFonts w:hint="eastAsia"/>
          <w:color w:val="000000" w:themeColor="text1"/>
          <w14:textFill>
            <w14:solidFill>
              <w14:schemeClr w14:val="tx1"/>
            </w14:solidFill>
          </w14:textFill>
        </w:rPr>
        <w:t>提升</w:t>
      </w:r>
      <w:r>
        <w:rPr>
          <w:color w:val="000000" w:themeColor="text1"/>
          <w14:textFill>
            <w14:solidFill>
              <w14:schemeClr w14:val="tx1"/>
            </w14:solidFill>
          </w14:textFill>
        </w:rPr>
        <w:t>人居环境</w:t>
      </w:r>
      <w:r>
        <w:rPr>
          <w:rFonts w:hint="eastAsia"/>
          <w:color w:val="000000" w:themeColor="text1"/>
          <w14:textFill>
            <w14:solidFill>
              <w14:schemeClr w14:val="tx1"/>
            </w14:solidFill>
          </w14:textFill>
        </w:rPr>
        <w:t>质量</w:t>
      </w:r>
    </w:p>
    <w:p w14:paraId="611BE83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垃圾焚烧代替传统的垃圾填埋处理，可避免产生污水、废气等二次污染。通过高温焚烧，可将垃圾中的有害成分彻底分解，将病原菌彻底杀灭。因此，本项目的建设不仅能够减少生态环境污染，还能改善城市人居环境质量，有利于居民的身体健康。</w:t>
      </w:r>
    </w:p>
    <w:p w14:paraId="06A98CF6">
      <w:pPr>
        <w:pStyle w:val="8"/>
        <w:ind w:left="-2" w:firstLineChars="0"/>
        <w:rPr>
          <w:color w:val="000000" w:themeColor="text1"/>
          <w14:textFill>
            <w14:solidFill>
              <w14:schemeClr w14:val="tx1"/>
            </w14:solidFill>
          </w14:textFill>
        </w:rPr>
      </w:pPr>
      <w:r>
        <w:rPr>
          <w:color w:val="000000" w:themeColor="text1"/>
          <w14:textFill>
            <w14:solidFill>
              <w14:schemeClr w14:val="tx1"/>
            </w14:solidFill>
          </w14:textFill>
        </w:rPr>
        <w:t>满足垃圾处理需求，提高垃圾处理水平</w:t>
      </w:r>
    </w:p>
    <w:p w14:paraId="3191653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作为包头市生活垃圾无害化处理基础设施体系建设的重要举措之一，建成后将大幅</w:t>
      </w:r>
      <w:r>
        <w:rPr>
          <w:color w:val="000000" w:themeColor="text1"/>
          <w14:textFill>
            <w14:solidFill>
              <w14:schemeClr w14:val="tx1"/>
            </w14:solidFill>
          </w14:textFill>
        </w:rPr>
        <w:t>提升</w:t>
      </w:r>
      <w:r>
        <w:rPr>
          <w:rFonts w:hint="eastAsia"/>
          <w:color w:val="000000" w:themeColor="text1"/>
          <w14:textFill>
            <w14:solidFill>
              <w14:schemeClr w14:val="tx1"/>
            </w14:solidFill>
          </w14:textFill>
        </w:rPr>
        <w:t>包头</w:t>
      </w:r>
      <w:r>
        <w:rPr>
          <w:color w:val="000000" w:themeColor="text1"/>
          <w14:textFill>
            <w14:solidFill>
              <w14:schemeClr w14:val="tx1"/>
            </w14:solidFill>
          </w14:textFill>
        </w:rPr>
        <w:t>市</w:t>
      </w:r>
      <w:r>
        <w:rPr>
          <w:rFonts w:hint="eastAsia"/>
          <w:color w:val="000000" w:themeColor="text1"/>
          <w14:textFill>
            <w14:solidFill>
              <w14:schemeClr w14:val="tx1"/>
            </w14:solidFill>
          </w14:textFill>
        </w:rPr>
        <w:t>生活</w:t>
      </w:r>
      <w:r>
        <w:rPr>
          <w:color w:val="000000" w:themeColor="text1"/>
          <w14:textFill>
            <w14:solidFill>
              <w14:schemeClr w14:val="tx1"/>
            </w14:solidFill>
          </w14:textFill>
        </w:rPr>
        <w:t>垃圾</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能力</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城市生活</w:t>
      </w:r>
      <w:r>
        <w:rPr>
          <w:color w:val="000000" w:themeColor="text1"/>
          <w14:textFill>
            <w14:solidFill>
              <w14:schemeClr w14:val="tx1"/>
            </w14:solidFill>
          </w14:textFill>
        </w:rPr>
        <w:t>垃圾处理需求</w:t>
      </w:r>
      <w:r>
        <w:rPr>
          <w:rFonts w:hint="eastAsia"/>
          <w:color w:val="000000" w:themeColor="text1"/>
          <w14:textFill>
            <w14:solidFill>
              <w14:schemeClr w14:val="tx1"/>
            </w14:solidFill>
          </w14:textFill>
        </w:rPr>
        <w:t>。通过建立集中处理、规范管理的生活垃圾处理系统，促进处理技术的综合集成，</w:t>
      </w:r>
      <w:r>
        <w:rPr>
          <w:color w:val="000000" w:themeColor="text1"/>
          <w14:textFill>
            <w14:solidFill>
              <w14:schemeClr w14:val="tx1"/>
            </w14:solidFill>
          </w14:textFill>
        </w:rPr>
        <w:t>实现处理设施标准化、规范化</w:t>
      </w:r>
      <w:r>
        <w:rPr>
          <w:rFonts w:hint="eastAsia"/>
          <w:color w:val="000000" w:themeColor="text1"/>
          <w14:textFill>
            <w14:solidFill>
              <w14:schemeClr w14:val="tx1"/>
            </w14:solidFill>
          </w14:textFill>
        </w:rPr>
        <w:t>，处理技术先进、管理水平科学的</w:t>
      </w:r>
      <w:r>
        <w:rPr>
          <w:color w:val="000000" w:themeColor="text1"/>
          <w14:textFill>
            <w14:solidFill>
              <w14:schemeClr w14:val="tx1"/>
            </w14:solidFill>
          </w14:textFill>
        </w:rPr>
        <w:t>目标</w:t>
      </w:r>
      <w:r>
        <w:rPr>
          <w:rFonts w:hint="eastAsia"/>
          <w:color w:val="000000" w:themeColor="text1"/>
          <w14:textFill>
            <w14:solidFill>
              <w14:schemeClr w14:val="tx1"/>
            </w14:solidFill>
          </w14:textFill>
        </w:rPr>
        <w:t>。</w:t>
      </w:r>
    </w:p>
    <w:p w14:paraId="31E43955">
      <w:pPr>
        <w:pStyle w:val="8"/>
        <w:ind w:left="-2"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提升资源利用效率，实现可持续发展</w:t>
      </w:r>
    </w:p>
    <w:p w14:paraId="1B78499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传统的垃圾填埋处理相比可有效节约土地资源，而且垃圾焚烧处置后的产出物包括铜铁铝等金属、玻璃、砂石料等各类再生资源及余热蒸汽，可“变废为宝”进行资源化利用，循环服务于本地企业，降低包头市工业基础原料采购成本。本项目的建设将促进包头市“循环经济、节能减排”事业的发展，有利于包头市建设“资源节约型、环境友好型”城市，高效利用资源，实现经济、生态环境、社会的可持续发展。</w:t>
      </w:r>
    </w:p>
    <w:p w14:paraId="70AD2722">
      <w:pPr>
        <w:pStyle w:val="8"/>
        <w:ind w:left="-2"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助推产业化发展，形成多元投入机制</w:t>
      </w:r>
    </w:p>
    <w:p w14:paraId="3DC3436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将助推包头市生活垃圾处理产业化发展、社会化运作进程，建立多元化投入机制。通过引入社会资本参与生活垃圾基础设施的建设与运营，有利于完善以公共财政为主导的城镇垃圾处理设施建设投资体制，形成“政府引导、社会参与、市场运作”的多元化投资机制。</w:t>
      </w:r>
    </w:p>
    <w:p w14:paraId="06FDB098">
      <w:pPr>
        <w:pStyle w:val="6"/>
        <w:spacing w:before="156" w:after="156"/>
        <w:outlineLvl w:val="2"/>
        <w:rPr>
          <w:color w:val="000000" w:themeColor="text1"/>
          <w14:textFill>
            <w14:solidFill>
              <w14:schemeClr w14:val="tx1"/>
            </w14:solidFill>
          </w14:textFill>
        </w:rPr>
      </w:pPr>
      <w:bookmarkStart w:id="95" w:name="_Toc14924"/>
      <w:bookmarkStart w:id="96" w:name="_Toc7258"/>
      <w:r>
        <w:rPr>
          <w:rFonts w:hint="eastAsia"/>
          <w:color w:val="000000" w:themeColor="text1"/>
          <w14:textFill>
            <w14:solidFill>
              <w14:schemeClr w14:val="tx1"/>
            </w14:solidFill>
          </w14:textFill>
        </w:rPr>
        <w:t>主要技术经济指标</w:t>
      </w:r>
      <w:bookmarkEnd w:id="95"/>
      <w:bookmarkEnd w:id="96"/>
    </w:p>
    <w:p w14:paraId="6DCAC3B5">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建构筑物一览表</w:t>
      </w:r>
    </w:p>
    <w:tbl>
      <w:tblPr>
        <w:tblStyle w:val="52"/>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4"/>
        <w:gridCol w:w="3684"/>
        <w:gridCol w:w="1949"/>
        <w:gridCol w:w="1619"/>
      </w:tblGrid>
      <w:tr w14:paraId="5011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645" w:type="pct"/>
            <w:shd w:val="clear" w:color="auto" w:fill="BDD6EE" w:themeFill="accent1" w:themeFillTint="66"/>
            <w:vAlign w:val="center"/>
          </w:tcPr>
          <w:p w14:paraId="46D4CDB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4"/>
                <w:sz w:val="24"/>
                <w:szCs w:val="24"/>
                <w14:textFill>
                  <w14:solidFill>
                    <w14:schemeClr w14:val="tx1"/>
                  </w14:solidFill>
                </w14:textFill>
              </w:rPr>
              <w:t>序号</w:t>
            </w:r>
          </w:p>
        </w:tc>
        <w:tc>
          <w:tcPr>
            <w:tcW w:w="2212" w:type="pct"/>
            <w:shd w:val="clear" w:color="auto" w:fill="BDD6EE" w:themeFill="accent1" w:themeFillTint="66"/>
            <w:vAlign w:val="center"/>
          </w:tcPr>
          <w:p w14:paraId="6CE54E6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名称</w:t>
            </w:r>
          </w:p>
        </w:tc>
        <w:tc>
          <w:tcPr>
            <w:tcW w:w="1170" w:type="pct"/>
            <w:shd w:val="clear" w:color="auto" w:fill="BDD6EE" w:themeFill="accent1" w:themeFillTint="66"/>
            <w:vAlign w:val="center"/>
          </w:tcPr>
          <w:p w14:paraId="33FEC77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5"/>
                <w:sz w:val="24"/>
                <w:szCs w:val="24"/>
                <w14:textFill>
                  <w14:solidFill>
                    <w14:schemeClr w14:val="tx1"/>
                  </w14:solidFill>
                </w14:textFill>
              </w:rPr>
              <w:t>建筑面积</w:t>
            </w:r>
          </w:p>
        </w:tc>
        <w:tc>
          <w:tcPr>
            <w:tcW w:w="972" w:type="pct"/>
            <w:shd w:val="clear" w:color="auto" w:fill="BDD6EE" w:themeFill="accent1" w:themeFillTint="66"/>
            <w:vAlign w:val="center"/>
          </w:tcPr>
          <w:p w14:paraId="5036596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占地面积</w:t>
            </w:r>
          </w:p>
        </w:tc>
      </w:tr>
      <w:tr w14:paraId="21F0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4755596D">
            <w:pPr>
              <w:spacing w:before="198" w:line="240" w:lineRule="auto"/>
              <w:ind w:left="50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212" w:type="pct"/>
          </w:tcPr>
          <w:p w14:paraId="30547B39">
            <w:pPr>
              <w:spacing w:before="158" w:line="240" w:lineRule="auto"/>
              <w:ind w:left="1585"/>
              <w:rPr>
                <w:rFonts w:hint="eastAsia" w:ascii="仿宋" w:hAnsi="仿宋" w:cs="仿宋"/>
                <w:color w:val="000000" w:themeColor="text1"/>
                <w:spacing w:val="4"/>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主厂房</w:t>
            </w:r>
          </w:p>
        </w:tc>
        <w:tc>
          <w:tcPr>
            <w:tcW w:w="1170" w:type="pct"/>
          </w:tcPr>
          <w:p w14:paraId="3407FE44">
            <w:pPr>
              <w:spacing w:before="197" w:line="240" w:lineRule="auto"/>
              <w:ind w:left="752"/>
              <w:rPr>
                <w:rFonts w:hint="eastAsia" w:ascii="仿宋" w:hAnsi="仿宋" w:cs="仿宋"/>
                <w:color w:val="000000" w:themeColor="text1"/>
                <w:position w:val="-2"/>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22580</w:t>
            </w:r>
          </w:p>
        </w:tc>
        <w:tc>
          <w:tcPr>
            <w:tcW w:w="972" w:type="pct"/>
          </w:tcPr>
          <w:p w14:paraId="31B25843">
            <w:pPr>
              <w:spacing w:before="197" w:line="240" w:lineRule="auto"/>
              <w:ind w:left="576"/>
              <w:rPr>
                <w:rFonts w:hint="eastAsia" w:ascii="仿宋" w:hAnsi="仿宋" w:cs="仿宋"/>
                <w:color w:val="000000" w:themeColor="text1"/>
                <w:spacing w:val="-2"/>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11012</w:t>
            </w:r>
          </w:p>
        </w:tc>
      </w:tr>
      <w:tr w14:paraId="093E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2D5603C0">
            <w:pPr>
              <w:spacing w:before="167" w:line="240" w:lineRule="auto"/>
              <w:ind w:left="51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2212" w:type="pct"/>
          </w:tcPr>
          <w:p w14:paraId="57DAAB33">
            <w:pPr>
              <w:spacing w:before="129" w:line="240" w:lineRule="auto"/>
              <w:ind w:left="168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烟囱</w:t>
            </w:r>
          </w:p>
        </w:tc>
        <w:tc>
          <w:tcPr>
            <w:tcW w:w="1170" w:type="pct"/>
          </w:tcPr>
          <w:p w14:paraId="7AE6A42E">
            <w:pPr>
              <w:spacing w:before="238"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7D35850C">
            <w:pPr>
              <w:spacing w:before="168" w:line="240" w:lineRule="auto"/>
              <w:ind w:left="72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60</w:t>
            </w:r>
          </w:p>
        </w:tc>
      </w:tr>
      <w:tr w14:paraId="5404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45" w:type="pct"/>
          </w:tcPr>
          <w:p w14:paraId="303D20D6">
            <w:pPr>
              <w:spacing w:before="171" w:line="240" w:lineRule="auto"/>
              <w:ind w:left="50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2212" w:type="pct"/>
          </w:tcPr>
          <w:p w14:paraId="342172C8">
            <w:pPr>
              <w:spacing w:before="130" w:line="240" w:lineRule="auto"/>
              <w:ind w:left="147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上料坡道</w:t>
            </w:r>
          </w:p>
        </w:tc>
        <w:tc>
          <w:tcPr>
            <w:tcW w:w="1170" w:type="pct"/>
          </w:tcPr>
          <w:p w14:paraId="023D2F9D">
            <w:pPr>
              <w:spacing w:before="240"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00583C0F">
            <w:pPr>
              <w:spacing w:before="171" w:line="240" w:lineRule="auto"/>
              <w:ind w:left="62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1638</w:t>
            </w:r>
          </w:p>
        </w:tc>
      </w:tr>
      <w:tr w14:paraId="252B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45" w:type="pct"/>
          </w:tcPr>
          <w:p w14:paraId="5209D634">
            <w:pPr>
              <w:spacing w:before="173" w:line="240" w:lineRule="auto"/>
              <w:ind w:left="503"/>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2212" w:type="pct"/>
          </w:tcPr>
          <w:p w14:paraId="5E6B5996">
            <w:pPr>
              <w:spacing w:before="130" w:line="240" w:lineRule="auto"/>
              <w:ind w:left="137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综合水泵房</w:t>
            </w:r>
          </w:p>
        </w:tc>
        <w:tc>
          <w:tcPr>
            <w:tcW w:w="1170" w:type="pct"/>
          </w:tcPr>
          <w:p w14:paraId="5758C162">
            <w:pPr>
              <w:spacing w:before="172" w:line="240" w:lineRule="auto"/>
              <w:ind w:left="853"/>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641</w:t>
            </w:r>
          </w:p>
        </w:tc>
        <w:tc>
          <w:tcPr>
            <w:tcW w:w="972" w:type="pct"/>
          </w:tcPr>
          <w:p w14:paraId="02FFAA0B">
            <w:pPr>
              <w:spacing w:before="172" w:line="240" w:lineRule="auto"/>
              <w:ind w:left="673"/>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641</w:t>
            </w:r>
          </w:p>
        </w:tc>
      </w:tr>
      <w:tr w14:paraId="2969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7EF28359">
            <w:pPr>
              <w:spacing w:before="176" w:line="240" w:lineRule="auto"/>
              <w:ind w:left="50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p>
        </w:tc>
        <w:tc>
          <w:tcPr>
            <w:tcW w:w="2212" w:type="pct"/>
          </w:tcPr>
          <w:p w14:paraId="38A5E48B">
            <w:pPr>
              <w:spacing w:before="132" w:line="240" w:lineRule="auto"/>
              <w:ind w:left="1161"/>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工业废水处理站</w:t>
            </w:r>
          </w:p>
        </w:tc>
        <w:tc>
          <w:tcPr>
            <w:tcW w:w="1170" w:type="pct"/>
          </w:tcPr>
          <w:p w14:paraId="4F3D8209">
            <w:pPr>
              <w:spacing w:before="174" w:line="240" w:lineRule="auto"/>
              <w:ind w:left="85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394</w:t>
            </w:r>
          </w:p>
        </w:tc>
        <w:tc>
          <w:tcPr>
            <w:tcW w:w="972" w:type="pct"/>
          </w:tcPr>
          <w:p w14:paraId="05B26F6F">
            <w:pPr>
              <w:spacing w:before="174" w:line="240" w:lineRule="auto"/>
              <w:ind w:left="67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394</w:t>
            </w:r>
          </w:p>
        </w:tc>
      </w:tr>
      <w:tr w14:paraId="19FB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57E4B678">
            <w:pPr>
              <w:spacing w:before="174" w:line="240" w:lineRule="auto"/>
              <w:ind w:left="50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p>
        </w:tc>
        <w:tc>
          <w:tcPr>
            <w:tcW w:w="2212" w:type="pct"/>
          </w:tcPr>
          <w:p w14:paraId="7C38F36E">
            <w:pPr>
              <w:spacing w:before="135" w:line="240" w:lineRule="auto"/>
              <w:ind w:left="1581"/>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净水站</w:t>
            </w:r>
          </w:p>
        </w:tc>
        <w:tc>
          <w:tcPr>
            <w:tcW w:w="1170" w:type="pct"/>
          </w:tcPr>
          <w:p w14:paraId="2FDFBAFF">
            <w:pPr>
              <w:spacing w:before="174" w:line="240" w:lineRule="auto"/>
              <w:ind w:left="85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327</w:t>
            </w:r>
          </w:p>
        </w:tc>
        <w:tc>
          <w:tcPr>
            <w:tcW w:w="972" w:type="pct"/>
          </w:tcPr>
          <w:p w14:paraId="3515A22D">
            <w:pPr>
              <w:spacing w:before="174" w:line="240" w:lineRule="auto"/>
              <w:ind w:left="77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w:t>
            </w:r>
          </w:p>
        </w:tc>
      </w:tr>
      <w:tr w14:paraId="2402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5EB18919">
            <w:pPr>
              <w:spacing w:before="179" w:line="240" w:lineRule="auto"/>
              <w:ind w:left="50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p>
        </w:tc>
        <w:tc>
          <w:tcPr>
            <w:tcW w:w="2212" w:type="pct"/>
          </w:tcPr>
          <w:p w14:paraId="5BE5772C">
            <w:pPr>
              <w:spacing w:before="135" w:line="240" w:lineRule="auto"/>
              <w:ind w:left="126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工业消防水池</w:t>
            </w:r>
          </w:p>
        </w:tc>
        <w:tc>
          <w:tcPr>
            <w:tcW w:w="1170" w:type="pct"/>
          </w:tcPr>
          <w:p w14:paraId="0D19ACD4">
            <w:pPr>
              <w:spacing w:before="246"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2D07EC53">
            <w:pPr>
              <w:spacing w:before="171" w:line="240" w:lineRule="auto"/>
              <w:ind w:left="67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948</w:t>
            </w:r>
          </w:p>
        </w:tc>
      </w:tr>
      <w:tr w14:paraId="7C29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45" w:type="pct"/>
          </w:tcPr>
          <w:p w14:paraId="7C9B73B8">
            <w:pPr>
              <w:spacing w:before="177" w:line="240" w:lineRule="auto"/>
              <w:ind w:left="50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w:t>
            </w:r>
          </w:p>
        </w:tc>
        <w:tc>
          <w:tcPr>
            <w:tcW w:w="2212" w:type="pct"/>
          </w:tcPr>
          <w:p w14:paraId="72B34BF5">
            <w:pPr>
              <w:spacing w:before="136" w:line="240" w:lineRule="auto"/>
              <w:ind w:left="1581"/>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冷却塔</w:t>
            </w:r>
          </w:p>
        </w:tc>
        <w:tc>
          <w:tcPr>
            <w:tcW w:w="1170" w:type="pct"/>
          </w:tcPr>
          <w:p w14:paraId="6375E86B">
            <w:pPr>
              <w:spacing w:before="247"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3D6238CC">
            <w:pPr>
              <w:spacing w:before="172" w:line="240" w:lineRule="auto"/>
              <w:ind w:left="671"/>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688</w:t>
            </w:r>
          </w:p>
        </w:tc>
      </w:tr>
      <w:tr w14:paraId="0C34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45" w:type="pct"/>
          </w:tcPr>
          <w:p w14:paraId="68F03737">
            <w:pPr>
              <w:spacing w:before="179" w:line="240" w:lineRule="auto"/>
              <w:ind w:left="50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9</w:t>
            </w:r>
          </w:p>
        </w:tc>
        <w:tc>
          <w:tcPr>
            <w:tcW w:w="2212" w:type="pct"/>
          </w:tcPr>
          <w:p w14:paraId="62832759">
            <w:pPr>
              <w:spacing w:before="137" w:line="240" w:lineRule="auto"/>
              <w:ind w:left="10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飞灰暂存及危废间</w:t>
            </w:r>
          </w:p>
        </w:tc>
        <w:tc>
          <w:tcPr>
            <w:tcW w:w="1170" w:type="pct"/>
          </w:tcPr>
          <w:p w14:paraId="5C897086">
            <w:pPr>
              <w:spacing w:before="173" w:line="240" w:lineRule="auto"/>
              <w:ind w:left="81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1018</w:t>
            </w:r>
          </w:p>
        </w:tc>
        <w:tc>
          <w:tcPr>
            <w:tcW w:w="972" w:type="pct"/>
          </w:tcPr>
          <w:p w14:paraId="1FAEB3CD">
            <w:pPr>
              <w:spacing w:before="173" w:line="240" w:lineRule="auto"/>
              <w:ind w:left="63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1018</w:t>
            </w:r>
          </w:p>
        </w:tc>
      </w:tr>
      <w:tr w14:paraId="06CD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554FAD3F">
            <w:pPr>
              <w:spacing w:before="180"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10</w:t>
            </w:r>
          </w:p>
        </w:tc>
        <w:tc>
          <w:tcPr>
            <w:tcW w:w="2212" w:type="pct"/>
          </w:tcPr>
          <w:p w14:paraId="6CB635C8">
            <w:pPr>
              <w:spacing w:before="141" w:line="240" w:lineRule="auto"/>
              <w:ind w:left="126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渗沥液处理站</w:t>
            </w:r>
          </w:p>
        </w:tc>
        <w:tc>
          <w:tcPr>
            <w:tcW w:w="1170" w:type="pct"/>
          </w:tcPr>
          <w:p w14:paraId="253A2914">
            <w:pPr>
              <w:spacing w:before="177" w:line="240" w:lineRule="auto"/>
              <w:ind w:left="81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1600</w:t>
            </w:r>
          </w:p>
        </w:tc>
        <w:tc>
          <w:tcPr>
            <w:tcW w:w="972" w:type="pct"/>
          </w:tcPr>
          <w:p w14:paraId="43469BA3">
            <w:pPr>
              <w:spacing w:before="177" w:line="240" w:lineRule="auto"/>
              <w:ind w:left="62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3235</w:t>
            </w:r>
          </w:p>
        </w:tc>
      </w:tr>
      <w:tr w14:paraId="56F2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1958795F">
            <w:pPr>
              <w:spacing w:before="184"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11</w:t>
            </w:r>
          </w:p>
        </w:tc>
        <w:tc>
          <w:tcPr>
            <w:tcW w:w="2212" w:type="pct"/>
          </w:tcPr>
          <w:p w14:paraId="7234ECDA">
            <w:pPr>
              <w:spacing w:before="141" w:line="240" w:lineRule="auto"/>
              <w:ind w:left="115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地下油泵房油罐</w:t>
            </w:r>
          </w:p>
        </w:tc>
        <w:tc>
          <w:tcPr>
            <w:tcW w:w="1170" w:type="pct"/>
          </w:tcPr>
          <w:p w14:paraId="736F6200">
            <w:pPr>
              <w:spacing w:before="184" w:line="240" w:lineRule="auto"/>
              <w:ind w:left="89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44</w:t>
            </w:r>
          </w:p>
        </w:tc>
        <w:tc>
          <w:tcPr>
            <w:tcW w:w="972" w:type="pct"/>
          </w:tcPr>
          <w:p w14:paraId="130F8F1E">
            <w:pPr>
              <w:spacing w:before="184" w:line="240" w:lineRule="auto"/>
              <w:ind w:left="71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44</w:t>
            </w:r>
          </w:p>
        </w:tc>
      </w:tr>
      <w:tr w14:paraId="630E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2206ABC2">
            <w:pPr>
              <w:spacing w:before="182"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12</w:t>
            </w:r>
          </w:p>
        </w:tc>
        <w:tc>
          <w:tcPr>
            <w:tcW w:w="2212" w:type="pct"/>
          </w:tcPr>
          <w:p w14:paraId="74F7EA7E">
            <w:pPr>
              <w:spacing w:before="141" w:line="240" w:lineRule="auto"/>
              <w:ind w:left="1473"/>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地下油罐</w:t>
            </w:r>
          </w:p>
        </w:tc>
        <w:tc>
          <w:tcPr>
            <w:tcW w:w="1170" w:type="pct"/>
          </w:tcPr>
          <w:p w14:paraId="65EBECBE">
            <w:pPr>
              <w:spacing w:before="253"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26E6105D">
            <w:pPr>
              <w:spacing w:before="178" w:line="240" w:lineRule="auto"/>
              <w:ind w:left="68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100</w:t>
            </w:r>
          </w:p>
        </w:tc>
      </w:tr>
      <w:tr w14:paraId="56CE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3ED2A735">
            <w:pPr>
              <w:spacing w:before="184"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13</w:t>
            </w:r>
          </w:p>
        </w:tc>
        <w:tc>
          <w:tcPr>
            <w:tcW w:w="2212" w:type="pct"/>
          </w:tcPr>
          <w:p w14:paraId="326571F9">
            <w:pPr>
              <w:spacing w:before="142" w:line="240" w:lineRule="auto"/>
              <w:ind w:left="157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地磅房</w:t>
            </w:r>
          </w:p>
        </w:tc>
        <w:tc>
          <w:tcPr>
            <w:tcW w:w="1170" w:type="pct"/>
          </w:tcPr>
          <w:p w14:paraId="78D22F80">
            <w:pPr>
              <w:spacing w:before="178" w:line="240" w:lineRule="auto"/>
              <w:ind w:left="9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46</w:t>
            </w:r>
          </w:p>
        </w:tc>
        <w:tc>
          <w:tcPr>
            <w:tcW w:w="972" w:type="pct"/>
          </w:tcPr>
          <w:p w14:paraId="32753DBB">
            <w:pPr>
              <w:spacing w:before="178" w:line="240" w:lineRule="auto"/>
              <w:ind w:left="718"/>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46</w:t>
            </w:r>
          </w:p>
        </w:tc>
      </w:tr>
      <w:tr w14:paraId="06AD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3A24DABD">
            <w:pPr>
              <w:spacing w:before="185"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14</w:t>
            </w:r>
          </w:p>
        </w:tc>
        <w:tc>
          <w:tcPr>
            <w:tcW w:w="2212" w:type="pct"/>
          </w:tcPr>
          <w:p w14:paraId="32E85D27">
            <w:pPr>
              <w:spacing w:before="144" w:line="240" w:lineRule="auto"/>
              <w:ind w:left="147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人流门卫</w:t>
            </w:r>
          </w:p>
        </w:tc>
        <w:tc>
          <w:tcPr>
            <w:tcW w:w="1170" w:type="pct"/>
          </w:tcPr>
          <w:p w14:paraId="174A6881">
            <w:pPr>
              <w:spacing w:before="181" w:line="240" w:lineRule="auto"/>
              <w:ind w:left="9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40</w:t>
            </w:r>
          </w:p>
        </w:tc>
        <w:tc>
          <w:tcPr>
            <w:tcW w:w="972" w:type="pct"/>
          </w:tcPr>
          <w:p w14:paraId="1C97CD58">
            <w:pPr>
              <w:spacing w:before="181" w:line="240" w:lineRule="auto"/>
              <w:ind w:left="718"/>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40</w:t>
            </w:r>
          </w:p>
        </w:tc>
      </w:tr>
      <w:tr w14:paraId="25E2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45" w:type="pct"/>
          </w:tcPr>
          <w:p w14:paraId="46BFD08E">
            <w:pPr>
              <w:spacing w:before="188"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15</w:t>
            </w:r>
          </w:p>
        </w:tc>
        <w:tc>
          <w:tcPr>
            <w:tcW w:w="2212" w:type="pct"/>
          </w:tcPr>
          <w:p w14:paraId="47B0BD30">
            <w:pPr>
              <w:spacing w:before="145" w:line="240" w:lineRule="auto"/>
              <w:ind w:left="1685"/>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地磅</w:t>
            </w:r>
          </w:p>
        </w:tc>
        <w:tc>
          <w:tcPr>
            <w:tcW w:w="1170" w:type="pct"/>
          </w:tcPr>
          <w:p w14:paraId="6256BFF7">
            <w:pPr>
              <w:spacing w:before="244" w:line="240" w:lineRule="auto"/>
              <w:ind w:left="903"/>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position w:val="-3"/>
                <w:sz w:val="24"/>
                <w:szCs w:val="24"/>
                <w14:textFill>
                  <w14:solidFill>
                    <w14:schemeClr w14:val="tx1"/>
                  </w14:solidFill>
                </w14:textFill>
              </w:rPr>
              <w:t>—</w:t>
            </w:r>
          </w:p>
        </w:tc>
        <w:tc>
          <w:tcPr>
            <w:tcW w:w="972" w:type="pct"/>
          </w:tcPr>
          <w:p w14:paraId="350F454A">
            <w:pPr>
              <w:spacing w:before="181" w:line="240" w:lineRule="auto"/>
              <w:ind w:left="55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140.80</w:t>
            </w:r>
          </w:p>
        </w:tc>
      </w:tr>
      <w:tr w14:paraId="5B02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6BBC189E">
            <w:pPr>
              <w:spacing w:before="188"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16</w:t>
            </w:r>
          </w:p>
        </w:tc>
        <w:tc>
          <w:tcPr>
            <w:tcW w:w="2212" w:type="pct"/>
          </w:tcPr>
          <w:p w14:paraId="2A094B3A">
            <w:pPr>
              <w:spacing w:before="146" w:line="240" w:lineRule="auto"/>
              <w:ind w:left="136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初期雨水池</w:t>
            </w:r>
          </w:p>
        </w:tc>
        <w:tc>
          <w:tcPr>
            <w:tcW w:w="1170" w:type="pct"/>
          </w:tcPr>
          <w:p w14:paraId="4197C437">
            <w:pPr>
              <w:spacing w:before="258"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764F4B24">
            <w:pPr>
              <w:spacing w:before="183" w:line="240" w:lineRule="auto"/>
              <w:ind w:left="68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100</w:t>
            </w:r>
          </w:p>
        </w:tc>
      </w:tr>
      <w:tr w14:paraId="162C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104565D2">
            <w:pPr>
              <w:spacing w:before="190"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17</w:t>
            </w:r>
          </w:p>
        </w:tc>
        <w:tc>
          <w:tcPr>
            <w:tcW w:w="2212" w:type="pct"/>
          </w:tcPr>
          <w:p w14:paraId="515FD4BF">
            <w:pPr>
              <w:spacing w:before="147" w:line="240" w:lineRule="auto"/>
              <w:ind w:left="157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氨水区</w:t>
            </w:r>
          </w:p>
        </w:tc>
        <w:tc>
          <w:tcPr>
            <w:tcW w:w="1170" w:type="pct"/>
          </w:tcPr>
          <w:p w14:paraId="64718AB6">
            <w:pPr>
              <w:spacing w:before="258" w:line="240" w:lineRule="auto"/>
              <w:ind w:left="922"/>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w:t>
            </w:r>
          </w:p>
        </w:tc>
        <w:tc>
          <w:tcPr>
            <w:tcW w:w="972" w:type="pct"/>
          </w:tcPr>
          <w:p w14:paraId="72E35476">
            <w:pPr>
              <w:spacing w:before="183" w:line="240" w:lineRule="auto"/>
              <w:ind w:left="686"/>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172</w:t>
            </w:r>
          </w:p>
        </w:tc>
      </w:tr>
      <w:tr w14:paraId="518A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tcPr>
          <w:p w14:paraId="36B0624F">
            <w:pPr>
              <w:spacing w:before="189" w:line="240" w:lineRule="auto"/>
              <w:ind w:left="46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18</w:t>
            </w:r>
          </w:p>
        </w:tc>
        <w:tc>
          <w:tcPr>
            <w:tcW w:w="2212" w:type="pct"/>
          </w:tcPr>
          <w:p w14:paraId="27B82F57">
            <w:pPr>
              <w:spacing w:before="150" w:line="240" w:lineRule="auto"/>
              <w:ind w:left="1369"/>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宿舍及食堂</w:t>
            </w:r>
          </w:p>
        </w:tc>
        <w:tc>
          <w:tcPr>
            <w:tcW w:w="1170" w:type="pct"/>
          </w:tcPr>
          <w:p w14:paraId="5FFCF0C0">
            <w:pPr>
              <w:spacing w:before="189" w:line="240" w:lineRule="auto"/>
              <w:ind w:left="79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4000</w:t>
            </w:r>
          </w:p>
        </w:tc>
        <w:tc>
          <w:tcPr>
            <w:tcW w:w="972" w:type="pct"/>
          </w:tcPr>
          <w:p w14:paraId="05ACCEEB">
            <w:pPr>
              <w:spacing w:before="189" w:line="240" w:lineRule="auto"/>
              <w:ind w:left="624"/>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1200</w:t>
            </w:r>
          </w:p>
        </w:tc>
      </w:tr>
      <w:tr w14:paraId="7C16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vAlign w:val="center"/>
          </w:tcPr>
          <w:p w14:paraId="53F54C6A">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19</w:t>
            </w:r>
          </w:p>
        </w:tc>
        <w:tc>
          <w:tcPr>
            <w:tcW w:w="2212" w:type="pct"/>
            <w:vAlign w:val="center"/>
          </w:tcPr>
          <w:p w14:paraId="04816FBA">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冷却塔(二期预留)</w:t>
            </w:r>
          </w:p>
        </w:tc>
        <w:tc>
          <w:tcPr>
            <w:tcW w:w="1170" w:type="pct"/>
            <w:vAlign w:val="center"/>
          </w:tcPr>
          <w:p w14:paraId="74A7F7A7">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w:t>
            </w:r>
          </w:p>
        </w:tc>
        <w:tc>
          <w:tcPr>
            <w:tcW w:w="972" w:type="pct"/>
            <w:vAlign w:val="center"/>
          </w:tcPr>
          <w:p w14:paraId="6AD4ADA3">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750</w:t>
            </w:r>
          </w:p>
        </w:tc>
      </w:tr>
      <w:tr w14:paraId="55B1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vAlign w:val="center"/>
          </w:tcPr>
          <w:p w14:paraId="7C22996D">
            <w:pPr>
              <w:widowControl/>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20</w:t>
            </w:r>
          </w:p>
        </w:tc>
        <w:tc>
          <w:tcPr>
            <w:tcW w:w="2212" w:type="pct"/>
            <w:vAlign w:val="center"/>
          </w:tcPr>
          <w:p w14:paraId="5664F00B">
            <w:pPr>
              <w:widowControl/>
              <w:spacing w:line="240" w:lineRule="auto"/>
              <w:jc w:val="center"/>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渗沥液处理站（二期预留）</w:t>
            </w:r>
          </w:p>
        </w:tc>
        <w:tc>
          <w:tcPr>
            <w:tcW w:w="1170" w:type="pct"/>
            <w:vAlign w:val="center"/>
          </w:tcPr>
          <w:p w14:paraId="7959C32A">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500</w:t>
            </w:r>
          </w:p>
        </w:tc>
        <w:tc>
          <w:tcPr>
            <w:tcW w:w="972" w:type="pct"/>
            <w:vAlign w:val="center"/>
          </w:tcPr>
          <w:p w14:paraId="03A1150D">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1100</w:t>
            </w:r>
          </w:p>
        </w:tc>
      </w:tr>
      <w:tr w14:paraId="525A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5" w:type="pct"/>
            <w:vAlign w:val="center"/>
          </w:tcPr>
          <w:p w14:paraId="0E97AF19">
            <w:pPr>
              <w:widowControl/>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21</w:t>
            </w:r>
          </w:p>
        </w:tc>
        <w:tc>
          <w:tcPr>
            <w:tcW w:w="2212" w:type="pct"/>
            <w:vAlign w:val="center"/>
          </w:tcPr>
          <w:p w14:paraId="6C25039B">
            <w:pPr>
              <w:widowControl/>
              <w:spacing w:line="240" w:lineRule="auto"/>
              <w:jc w:val="center"/>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综合主厂房（二期预留）</w:t>
            </w:r>
          </w:p>
        </w:tc>
        <w:tc>
          <w:tcPr>
            <w:tcW w:w="1170" w:type="pct"/>
            <w:vAlign w:val="center"/>
          </w:tcPr>
          <w:p w14:paraId="630853FB">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11100</w:t>
            </w:r>
          </w:p>
        </w:tc>
        <w:tc>
          <w:tcPr>
            <w:tcW w:w="972" w:type="pct"/>
            <w:vAlign w:val="center"/>
          </w:tcPr>
          <w:p w14:paraId="518ABBFE">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5500</w:t>
            </w:r>
          </w:p>
        </w:tc>
      </w:tr>
      <w:tr w14:paraId="744B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645" w:type="pct"/>
            <w:vAlign w:val="center"/>
          </w:tcPr>
          <w:p w14:paraId="04D481DB">
            <w:pPr>
              <w:widowControl/>
              <w:spacing w:line="240" w:lineRule="auto"/>
              <w:jc w:val="center"/>
              <w:rPr>
                <w:rFonts w:hint="eastAsia" w:ascii="仿宋" w:hAnsi="仿宋" w:cs="仿宋"/>
                <w:color w:val="000000" w:themeColor="text1"/>
                <w:spacing w:val="-5"/>
                <w:sz w:val="24"/>
                <w:szCs w:val="24"/>
                <w14:textFill>
                  <w14:solidFill>
                    <w14:schemeClr w14:val="tx1"/>
                  </w14:solidFill>
                </w14:textFill>
              </w:rPr>
            </w:pPr>
          </w:p>
        </w:tc>
        <w:tc>
          <w:tcPr>
            <w:tcW w:w="2212" w:type="pct"/>
            <w:vAlign w:val="center"/>
          </w:tcPr>
          <w:p w14:paraId="678652D2">
            <w:pPr>
              <w:widowControl/>
              <w:spacing w:line="240" w:lineRule="auto"/>
              <w:jc w:val="center"/>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合计</w:t>
            </w:r>
          </w:p>
        </w:tc>
        <w:tc>
          <w:tcPr>
            <w:tcW w:w="1170" w:type="pct"/>
            <w:vAlign w:val="center"/>
          </w:tcPr>
          <w:p w14:paraId="27243F32">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39872.00</w:t>
            </w:r>
          </w:p>
        </w:tc>
        <w:tc>
          <w:tcPr>
            <w:tcW w:w="972" w:type="pct"/>
            <w:vAlign w:val="center"/>
          </w:tcPr>
          <w:p w14:paraId="34993323">
            <w:pPr>
              <w:widowControl/>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28418.80</w:t>
            </w:r>
          </w:p>
        </w:tc>
      </w:tr>
    </w:tbl>
    <w:p w14:paraId="12912F24">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主要建设规模表</w:t>
      </w:r>
    </w:p>
    <w:tbl>
      <w:tblPr>
        <w:tblStyle w:val="52"/>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6"/>
        <w:gridCol w:w="1321"/>
        <w:gridCol w:w="2242"/>
        <w:gridCol w:w="2029"/>
        <w:gridCol w:w="1898"/>
      </w:tblGrid>
      <w:tr w14:paraId="14A7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502" w:type="pct"/>
            <w:shd w:val="clear" w:color="auto" w:fill="BDD6EE" w:themeFill="accent1" w:themeFillTint="66"/>
            <w:vAlign w:val="center"/>
          </w:tcPr>
          <w:p w14:paraId="4048DFC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4"/>
                <w:sz w:val="24"/>
                <w:szCs w:val="24"/>
                <w14:textFill>
                  <w14:solidFill>
                    <w14:schemeClr w14:val="tx1"/>
                  </w14:solidFill>
                </w14:textFill>
              </w:rPr>
              <w:t>序号</w:t>
            </w:r>
          </w:p>
        </w:tc>
        <w:tc>
          <w:tcPr>
            <w:tcW w:w="793" w:type="pct"/>
            <w:shd w:val="clear" w:color="auto" w:fill="BDD6EE" w:themeFill="accent1" w:themeFillTint="66"/>
            <w:vAlign w:val="center"/>
          </w:tcPr>
          <w:p w14:paraId="46BCCB33">
            <w:pPr>
              <w:spacing w:line="240" w:lineRule="auto"/>
              <w:jc w:val="center"/>
              <w:rPr>
                <w:rFonts w:hint="eastAsia" w:ascii="仿宋" w:hAnsi="仿宋" w:cs="仿宋"/>
                <w:b/>
                <w:bCs/>
                <w:color w:val="000000" w:themeColor="text1"/>
                <w:spacing w:val="2"/>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类别</w:t>
            </w:r>
          </w:p>
        </w:tc>
        <w:tc>
          <w:tcPr>
            <w:tcW w:w="1346" w:type="pct"/>
            <w:shd w:val="clear" w:color="auto" w:fill="BDD6EE" w:themeFill="accent1" w:themeFillTint="66"/>
            <w:vAlign w:val="center"/>
          </w:tcPr>
          <w:p w14:paraId="53CC466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项目</w:t>
            </w:r>
          </w:p>
        </w:tc>
        <w:tc>
          <w:tcPr>
            <w:tcW w:w="1218" w:type="pct"/>
            <w:shd w:val="clear" w:color="auto" w:fill="BDD6EE" w:themeFill="accent1" w:themeFillTint="66"/>
            <w:vAlign w:val="center"/>
          </w:tcPr>
          <w:p w14:paraId="5EB6E12C">
            <w:pPr>
              <w:spacing w:line="240" w:lineRule="auto"/>
              <w:ind w:left="845"/>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数量</w:t>
            </w:r>
          </w:p>
        </w:tc>
        <w:tc>
          <w:tcPr>
            <w:tcW w:w="1139" w:type="pct"/>
            <w:shd w:val="clear" w:color="auto" w:fill="BDD6EE" w:themeFill="accent1" w:themeFillTint="66"/>
            <w:vAlign w:val="center"/>
          </w:tcPr>
          <w:p w14:paraId="28E92E73">
            <w:pPr>
              <w:spacing w:line="240" w:lineRule="auto"/>
              <w:ind w:left="753"/>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单位</w:t>
            </w:r>
          </w:p>
        </w:tc>
      </w:tr>
      <w:tr w14:paraId="67B5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502" w:type="pct"/>
            <w:vMerge w:val="restart"/>
            <w:vAlign w:val="center"/>
          </w:tcPr>
          <w:p w14:paraId="0389061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793" w:type="pct"/>
            <w:vMerge w:val="restart"/>
            <w:vAlign w:val="center"/>
          </w:tcPr>
          <w:p w14:paraId="3ABB6CB5">
            <w:pPr>
              <w:spacing w:before="131"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建设规模</w:t>
            </w:r>
          </w:p>
        </w:tc>
        <w:tc>
          <w:tcPr>
            <w:tcW w:w="1346" w:type="pct"/>
            <w:vAlign w:val="center"/>
          </w:tcPr>
          <w:p w14:paraId="4346391D">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红线内用地面积</w:t>
            </w:r>
          </w:p>
        </w:tc>
        <w:tc>
          <w:tcPr>
            <w:tcW w:w="1218" w:type="pct"/>
            <w:vAlign w:val="center"/>
          </w:tcPr>
          <w:p w14:paraId="7809F3CF">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56172.95</w:t>
            </w:r>
          </w:p>
        </w:tc>
        <w:tc>
          <w:tcPr>
            <w:tcW w:w="1139" w:type="pct"/>
            <w:vAlign w:val="center"/>
          </w:tcPr>
          <w:p w14:paraId="30DB4A14">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241B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502" w:type="pct"/>
            <w:vMerge w:val="continue"/>
            <w:vAlign w:val="center"/>
          </w:tcPr>
          <w:p w14:paraId="42BDC222">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793" w:type="pct"/>
            <w:vMerge w:val="continue"/>
            <w:vAlign w:val="center"/>
          </w:tcPr>
          <w:p w14:paraId="04CD7B54">
            <w:pPr>
              <w:spacing w:before="131" w:line="240" w:lineRule="auto"/>
              <w:jc w:val="center"/>
              <w:rPr>
                <w:rFonts w:hint="eastAsia" w:ascii="仿宋" w:hAnsi="仿宋" w:cs="仿宋"/>
                <w:color w:val="000000" w:themeColor="text1"/>
                <w:spacing w:val="7"/>
                <w:sz w:val="24"/>
                <w:szCs w:val="24"/>
                <w14:textFill>
                  <w14:solidFill>
                    <w14:schemeClr w14:val="tx1"/>
                  </w14:solidFill>
                </w14:textFill>
              </w:rPr>
            </w:pPr>
          </w:p>
        </w:tc>
        <w:tc>
          <w:tcPr>
            <w:tcW w:w="1346" w:type="pct"/>
            <w:vAlign w:val="center"/>
          </w:tcPr>
          <w:p w14:paraId="5A010B59">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围墙内用地面积</w:t>
            </w:r>
          </w:p>
        </w:tc>
        <w:tc>
          <w:tcPr>
            <w:tcW w:w="1218" w:type="pct"/>
            <w:vAlign w:val="center"/>
          </w:tcPr>
          <w:p w14:paraId="751D3A42">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56172.95</w:t>
            </w:r>
          </w:p>
        </w:tc>
        <w:tc>
          <w:tcPr>
            <w:tcW w:w="1139" w:type="pct"/>
            <w:vAlign w:val="center"/>
          </w:tcPr>
          <w:p w14:paraId="7D50E983">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43C3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502" w:type="pct"/>
            <w:vAlign w:val="center"/>
          </w:tcPr>
          <w:p w14:paraId="4601A54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793" w:type="pct"/>
            <w:vMerge w:val="continue"/>
          </w:tcPr>
          <w:p w14:paraId="482EBBE2">
            <w:pPr>
              <w:spacing w:before="141" w:line="240" w:lineRule="auto"/>
              <w:ind w:left="890"/>
              <w:rPr>
                <w:rFonts w:hint="eastAsia" w:ascii="仿宋" w:hAnsi="仿宋" w:cs="仿宋"/>
                <w:color w:val="000000" w:themeColor="text1"/>
                <w:spacing w:val="8"/>
                <w:sz w:val="24"/>
                <w:szCs w:val="24"/>
                <w14:textFill>
                  <w14:solidFill>
                    <w14:schemeClr w14:val="tx1"/>
                  </w14:solidFill>
                </w14:textFill>
              </w:rPr>
            </w:pPr>
          </w:p>
        </w:tc>
        <w:tc>
          <w:tcPr>
            <w:tcW w:w="1346" w:type="pct"/>
            <w:vAlign w:val="center"/>
          </w:tcPr>
          <w:p w14:paraId="43EAA930">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建构筑物占地面积</w:t>
            </w:r>
          </w:p>
        </w:tc>
        <w:tc>
          <w:tcPr>
            <w:tcW w:w="1218" w:type="pct"/>
            <w:vAlign w:val="center"/>
          </w:tcPr>
          <w:p w14:paraId="1C697958">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28418.80</w:t>
            </w:r>
          </w:p>
        </w:tc>
        <w:tc>
          <w:tcPr>
            <w:tcW w:w="1139" w:type="pct"/>
            <w:vAlign w:val="center"/>
          </w:tcPr>
          <w:p w14:paraId="1560F5D2">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68AD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502" w:type="pct"/>
            <w:vAlign w:val="center"/>
          </w:tcPr>
          <w:p w14:paraId="318ACD8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793" w:type="pct"/>
            <w:vMerge w:val="continue"/>
          </w:tcPr>
          <w:p w14:paraId="34FB5550">
            <w:pPr>
              <w:spacing w:before="143" w:line="240" w:lineRule="auto"/>
              <w:ind w:left="1310"/>
              <w:rPr>
                <w:rFonts w:hint="eastAsia" w:ascii="仿宋" w:hAnsi="仿宋" w:cs="仿宋"/>
                <w:color w:val="000000" w:themeColor="text1"/>
                <w:spacing w:val="6"/>
                <w:sz w:val="24"/>
                <w:szCs w:val="24"/>
                <w14:textFill>
                  <w14:solidFill>
                    <w14:schemeClr w14:val="tx1"/>
                  </w14:solidFill>
                </w14:textFill>
              </w:rPr>
            </w:pPr>
          </w:p>
        </w:tc>
        <w:tc>
          <w:tcPr>
            <w:tcW w:w="1346" w:type="pct"/>
            <w:vAlign w:val="center"/>
          </w:tcPr>
          <w:p w14:paraId="2904AA6B">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建筑密度</w:t>
            </w:r>
          </w:p>
        </w:tc>
        <w:tc>
          <w:tcPr>
            <w:tcW w:w="1218" w:type="pct"/>
            <w:vAlign w:val="center"/>
          </w:tcPr>
          <w:p w14:paraId="330A81DF">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50.59</w:t>
            </w:r>
          </w:p>
        </w:tc>
        <w:tc>
          <w:tcPr>
            <w:tcW w:w="1139" w:type="pct"/>
            <w:vAlign w:val="center"/>
          </w:tcPr>
          <w:p w14:paraId="352507ED">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w:t>
            </w:r>
          </w:p>
        </w:tc>
      </w:tr>
      <w:tr w14:paraId="15D7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502" w:type="pct"/>
            <w:vAlign w:val="center"/>
          </w:tcPr>
          <w:p w14:paraId="7274F4D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793" w:type="pct"/>
            <w:vMerge w:val="continue"/>
          </w:tcPr>
          <w:p w14:paraId="0BE2CEB4">
            <w:pPr>
              <w:spacing w:before="148" w:line="240" w:lineRule="auto"/>
              <w:ind w:left="1208"/>
              <w:rPr>
                <w:rFonts w:hint="eastAsia" w:ascii="仿宋" w:hAnsi="仿宋" w:cs="仿宋"/>
                <w:color w:val="000000" w:themeColor="text1"/>
                <w:spacing w:val="7"/>
                <w:sz w:val="24"/>
                <w:szCs w:val="24"/>
                <w14:textFill>
                  <w14:solidFill>
                    <w14:schemeClr w14:val="tx1"/>
                  </w14:solidFill>
                </w14:textFill>
              </w:rPr>
            </w:pPr>
          </w:p>
        </w:tc>
        <w:tc>
          <w:tcPr>
            <w:tcW w:w="1346" w:type="pct"/>
            <w:vAlign w:val="center"/>
          </w:tcPr>
          <w:p w14:paraId="17209228">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总建筑面积</w:t>
            </w:r>
          </w:p>
        </w:tc>
        <w:tc>
          <w:tcPr>
            <w:tcW w:w="1218" w:type="pct"/>
            <w:vAlign w:val="center"/>
          </w:tcPr>
          <w:p w14:paraId="5793B5F0">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39872.00</w:t>
            </w:r>
          </w:p>
        </w:tc>
        <w:tc>
          <w:tcPr>
            <w:tcW w:w="1139" w:type="pct"/>
            <w:vAlign w:val="center"/>
          </w:tcPr>
          <w:p w14:paraId="58B794DF">
            <w:pPr>
              <w:widowControl/>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147B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7972173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p>
        </w:tc>
        <w:tc>
          <w:tcPr>
            <w:tcW w:w="793" w:type="pct"/>
            <w:vMerge w:val="continue"/>
          </w:tcPr>
          <w:p w14:paraId="28F17572">
            <w:pPr>
              <w:spacing w:before="131" w:line="240" w:lineRule="auto"/>
              <w:ind w:left="1097"/>
              <w:rPr>
                <w:rFonts w:hint="eastAsia" w:ascii="仿宋" w:hAnsi="仿宋" w:cs="仿宋"/>
                <w:color w:val="000000" w:themeColor="text1"/>
                <w:spacing w:val="8"/>
                <w:sz w:val="24"/>
                <w:szCs w:val="24"/>
                <w14:textFill>
                  <w14:solidFill>
                    <w14:schemeClr w14:val="tx1"/>
                  </w14:solidFill>
                </w14:textFill>
              </w:rPr>
            </w:pPr>
          </w:p>
        </w:tc>
        <w:tc>
          <w:tcPr>
            <w:tcW w:w="1346" w:type="pct"/>
            <w:vAlign w:val="center"/>
          </w:tcPr>
          <w:p w14:paraId="52334F95">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计容建筑面积</w:t>
            </w:r>
          </w:p>
        </w:tc>
        <w:tc>
          <w:tcPr>
            <w:tcW w:w="1218" w:type="pct"/>
            <w:vAlign w:val="center"/>
          </w:tcPr>
          <w:p w14:paraId="1580F7AD">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52202.00</w:t>
            </w:r>
          </w:p>
        </w:tc>
        <w:tc>
          <w:tcPr>
            <w:tcW w:w="1139" w:type="pct"/>
            <w:vAlign w:val="center"/>
          </w:tcPr>
          <w:p w14:paraId="0FAA5495">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4615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652E4DE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p>
        </w:tc>
        <w:tc>
          <w:tcPr>
            <w:tcW w:w="793" w:type="pct"/>
            <w:vMerge w:val="continue"/>
          </w:tcPr>
          <w:p w14:paraId="3C6EA9F9">
            <w:pPr>
              <w:spacing w:before="133" w:line="240" w:lineRule="auto"/>
              <w:ind w:left="1414"/>
              <w:rPr>
                <w:rFonts w:hint="eastAsia" w:ascii="仿宋" w:hAnsi="仿宋" w:cs="仿宋"/>
                <w:color w:val="000000" w:themeColor="text1"/>
                <w:spacing w:val="6"/>
                <w:sz w:val="24"/>
                <w:szCs w:val="24"/>
                <w14:textFill>
                  <w14:solidFill>
                    <w14:schemeClr w14:val="tx1"/>
                  </w14:solidFill>
                </w14:textFill>
              </w:rPr>
            </w:pPr>
          </w:p>
        </w:tc>
        <w:tc>
          <w:tcPr>
            <w:tcW w:w="1346" w:type="pct"/>
            <w:vAlign w:val="center"/>
          </w:tcPr>
          <w:p w14:paraId="7C7B8B3F">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容积率</w:t>
            </w:r>
          </w:p>
        </w:tc>
        <w:tc>
          <w:tcPr>
            <w:tcW w:w="1218" w:type="pct"/>
            <w:vAlign w:val="center"/>
          </w:tcPr>
          <w:p w14:paraId="2A99EF44">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0.93</w:t>
            </w:r>
          </w:p>
        </w:tc>
        <w:tc>
          <w:tcPr>
            <w:tcW w:w="1139" w:type="pct"/>
            <w:vAlign w:val="center"/>
          </w:tcPr>
          <w:p w14:paraId="6E7CD573">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w:t>
            </w:r>
          </w:p>
        </w:tc>
      </w:tr>
      <w:tr w14:paraId="613B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416E71F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p>
        </w:tc>
        <w:tc>
          <w:tcPr>
            <w:tcW w:w="793" w:type="pct"/>
            <w:vMerge w:val="continue"/>
          </w:tcPr>
          <w:p w14:paraId="45171128">
            <w:pPr>
              <w:spacing w:before="136" w:line="240" w:lineRule="auto"/>
              <w:ind w:left="1310"/>
              <w:rPr>
                <w:rFonts w:hint="eastAsia" w:ascii="仿宋" w:hAnsi="仿宋" w:cs="仿宋"/>
                <w:color w:val="000000" w:themeColor="text1"/>
                <w:spacing w:val="6"/>
                <w:sz w:val="24"/>
                <w:szCs w:val="24"/>
                <w14:textFill>
                  <w14:solidFill>
                    <w14:schemeClr w14:val="tx1"/>
                  </w14:solidFill>
                </w14:textFill>
              </w:rPr>
            </w:pPr>
          </w:p>
        </w:tc>
        <w:tc>
          <w:tcPr>
            <w:tcW w:w="1346" w:type="pct"/>
            <w:vAlign w:val="center"/>
          </w:tcPr>
          <w:p w14:paraId="20FA121C">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绿地面积</w:t>
            </w:r>
          </w:p>
        </w:tc>
        <w:tc>
          <w:tcPr>
            <w:tcW w:w="1218" w:type="pct"/>
            <w:vAlign w:val="center"/>
          </w:tcPr>
          <w:p w14:paraId="34958933">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16288</w:t>
            </w:r>
          </w:p>
        </w:tc>
        <w:tc>
          <w:tcPr>
            <w:tcW w:w="1139" w:type="pct"/>
            <w:vAlign w:val="center"/>
          </w:tcPr>
          <w:p w14:paraId="67BD38E0">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74AE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4ECAEEF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w:t>
            </w:r>
          </w:p>
        </w:tc>
        <w:tc>
          <w:tcPr>
            <w:tcW w:w="793" w:type="pct"/>
            <w:vMerge w:val="continue"/>
          </w:tcPr>
          <w:p w14:paraId="5A3F200C">
            <w:pPr>
              <w:spacing w:before="138" w:line="240" w:lineRule="auto"/>
              <w:ind w:left="1413"/>
              <w:rPr>
                <w:rFonts w:hint="eastAsia" w:ascii="仿宋" w:hAnsi="仿宋" w:cs="仿宋"/>
                <w:color w:val="000000" w:themeColor="text1"/>
                <w:spacing w:val="6"/>
                <w:sz w:val="24"/>
                <w:szCs w:val="24"/>
                <w14:textFill>
                  <w14:solidFill>
                    <w14:schemeClr w14:val="tx1"/>
                  </w14:solidFill>
                </w14:textFill>
              </w:rPr>
            </w:pPr>
          </w:p>
        </w:tc>
        <w:tc>
          <w:tcPr>
            <w:tcW w:w="1346" w:type="pct"/>
            <w:vAlign w:val="center"/>
          </w:tcPr>
          <w:p w14:paraId="42BD58C8">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绿地率</w:t>
            </w:r>
          </w:p>
        </w:tc>
        <w:tc>
          <w:tcPr>
            <w:tcW w:w="1218" w:type="pct"/>
            <w:vAlign w:val="center"/>
          </w:tcPr>
          <w:p w14:paraId="7503C420">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29</w:t>
            </w:r>
          </w:p>
        </w:tc>
        <w:tc>
          <w:tcPr>
            <w:tcW w:w="1139" w:type="pct"/>
            <w:vAlign w:val="center"/>
          </w:tcPr>
          <w:p w14:paraId="2C87E6CE">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w:t>
            </w:r>
          </w:p>
        </w:tc>
      </w:tr>
      <w:tr w14:paraId="63AB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57CCA6B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9</w:t>
            </w:r>
          </w:p>
        </w:tc>
        <w:tc>
          <w:tcPr>
            <w:tcW w:w="793" w:type="pct"/>
            <w:vMerge w:val="continue"/>
          </w:tcPr>
          <w:p w14:paraId="6124A0E8">
            <w:pPr>
              <w:spacing w:before="143" w:line="240" w:lineRule="auto"/>
              <w:ind w:left="1096"/>
              <w:rPr>
                <w:rFonts w:hint="eastAsia" w:ascii="仿宋" w:hAnsi="仿宋" w:cs="仿宋"/>
                <w:color w:val="000000" w:themeColor="text1"/>
                <w:spacing w:val="8"/>
                <w:sz w:val="24"/>
                <w:szCs w:val="24"/>
                <w14:textFill>
                  <w14:solidFill>
                    <w14:schemeClr w14:val="tx1"/>
                  </w14:solidFill>
                </w14:textFill>
              </w:rPr>
            </w:pPr>
          </w:p>
        </w:tc>
        <w:tc>
          <w:tcPr>
            <w:tcW w:w="1346" w:type="pct"/>
            <w:vAlign w:val="center"/>
          </w:tcPr>
          <w:p w14:paraId="553DC9BC">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道路铺砌面积</w:t>
            </w:r>
          </w:p>
        </w:tc>
        <w:tc>
          <w:tcPr>
            <w:tcW w:w="1218" w:type="pct"/>
            <w:vAlign w:val="center"/>
          </w:tcPr>
          <w:p w14:paraId="3E7108E3">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13000</w:t>
            </w:r>
          </w:p>
        </w:tc>
        <w:tc>
          <w:tcPr>
            <w:tcW w:w="1139" w:type="pct"/>
            <w:vAlign w:val="center"/>
          </w:tcPr>
          <w:p w14:paraId="116ED345">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平方米</w:t>
            </w:r>
          </w:p>
        </w:tc>
      </w:tr>
      <w:tr w14:paraId="55D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4DFD653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10</w:t>
            </w:r>
          </w:p>
        </w:tc>
        <w:tc>
          <w:tcPr>
            <w:tcW w:w="793" w:type="pct"/>
            <w:vMerge w:val="continue"/>
          </w:tcPr>
          <w:p w14:paraId="0D203E35">
            <w:pPr>
              <w:spacing w:before="146" w:line="240" w:lineRule="auto"/>
              <w:ind w:left="1536"/>
              <w:rPr>
                <w:rFonts w:hint="eastAsia" w:ascii="仿宋" w:hAnsi="仿宋" w:cs="仿宋"/>
                <w:color w:val="000000" w:themeColor="text1"/>
                <w:spacing w:val="-5"/>
                <w:sz w:val="24"/>
                <w:szCs w:val="24"/>
                <w14:textFill>
                  <w14:solidFill>
                    <w14:schemeClr w14:val="tx1"/>
                  </w14:solidFill>
                </w14:textFill>
              </w:rPr>
            </w:pPr>
          </w:p>
        </w:tc>
        <w:tc>
          <w:tcPr>
            <w:tcW w:w="1346" w:type="pct"/>
            <w:vAlign w:val="center"/>
          </w:tcPr>
          <w:p w14:paraId="28FF2137">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围墙</w:t>
            </w:r>
          </w:p>
        </w:tc>
        <w:tc>
          <w:tcPr>
            <w:tcW w:w="1218" w:type="pct"/>
            <w:vAlign w:val="center"/>
          </w:tcPr>
          <w:p w14:paraId="5EAA0A07">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966</w:t>
            </w:r>
          </w:p>
        </w:tc>
        <w:tc>
          <w:tcPr>
            <w:tcW w:w="1139" w:type="pct"/>
            <w:vAlign w:val="center"/>
          </w:tcPr>
          <w:p w14:paraId="3C4FA096">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米</w:t>
            </w:r>
          </w:p>
        </w:tc>
      </w:tr>
      <w:tr w14:paraId="6F53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35EC968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11</w:t>
            </w:r>
          </w:p>
        </w:tc>
        <w:tc>
          <w:tcPr>
            <w:tcW w:w="793" w:type="pct"/>
            <w:vMerge w:val="continue"/>
          </w:tcPr>
          <w:p w14:paraId="5056A702">
            <w:pPr>
              <w:spacing w:before="147" w:line="240" w:lineRule="auto"/>
              <w:ind w:left="1519"/>
              <w:rPr>
                <w:rFonts w:hint="eastAsia" w:ascii="仿宋" w:hAnsi="仿宋" w:cs="仿宋"/>
                <w:color w:val="000000" w:themeColor="text1"/>
                <w:spacing w:val="3"/>
                <w:sz w:val="24"/>
                <w:szCs w:val="24"/>
                <w14:textFill>
                  <w14:solidFill>
                    <w14:schemeClr w14:val="tx1"/>
                  </w14:solidFill>
                </w14:textFill>
              </w:rPr>
            </w:pPr>
          </w:p>
        </w:tc>
        <w:tc>
          <w:tcPr>
            <w:tcW w:w="1346" w:type="pct"/>
            <w:vAlign w:val="center"/>
          </w:tcPr>
          <w:p w14:paraId="2751D0E5">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大门</w:t>
            </w:r>
          </w:p>
        </w:tc>
        <w:tc>
          <w:tcPr>
            <w:tcW w:w="1218" w:type="pct"/>
            <w:vAlign w:val="center"/>
          </w:tcPr>
          <w:p w14:paraId="08C79A84">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2</w:t>
            </w:r>
          </w:p>
        </w:tc>
        <w:tc>
          <w:tcPr>
            <w:tcW w:w="1139" w:type="pct"/>
            <w:vAlign w:val="center"/>
          </w:tcPr>
          <w:p w14:paraId="6C7F6BB4">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座</w:t>
            </w:r>
          </w:p>
        </w:tc>
      </w:tr>
      <w:tr w14:paraId="7C1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7C6A2AD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12</w:t>
            </w:r>
          </w:p>
        </w:tc>
        <w:tc>
          <w:tcPr>
            <w:tcW w:w="793" w:type="pct"/>
            <w:vMerge w:val="continue"/>
          </w:tcPr>
          <w:p w14:paraId="0FF9FA09">
            <w:pPr>
              <w:spacing w:before="149" w:line="240" w:lineRule="auto"/>
              <w:ind w:left="1518"/>
              <w:rPr>
                <w:rFonts w:hint="eastAsia" w:ascii="仿宋" w:hAnsi="仿宋" w:cs="仿宋"/>
                <w:color w:val="000000" w:themeColor="text1"/>
                <w:spacing w:val="3"/>
                <w:sz w:val="24"/>
                <w:szCs w:val="24"/>
                <w14:textFill>
                  <w14:solidFill>
                    <w14:schemeClr w14:val="tx1"/>
                  </w14:solidFill>
                </w14:textFill>
              </w:rPr>
            </w:pPr>
          </w:p>
        </w:tc>
        <w:tc>
          <w:tcPr>
            <w:tcW w:w="1346" w:type="pct"/>
            <w:vAlign w:val="center"/>
          </w:tcPr>
          <w:p w14:paraId="03F9D7DB">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车位</w:t>
            </w:r>
          </w:p>
        </w:tc>
        <w:tc>
          <w:tcPr>
            <w:tcW w:w="1218" w:type="pct"/>
            <w:vAlign w:val="center"/>
          </w:tcPr>
          <w:p w14:paraId="22DAA2F5">
            <w:pPr>
              <w:widowControl/>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30</w:t>
            </w:r>
          </w:p>
        </w:tc>
        <w:tc>
          <w:tcPr>
            <w:tcW w:w="1139" w:type="pct"/>
            <w:vAlign w:val="center"/>
          </w:tcPr>
          <w:p w14:paraId="38AA65E6">
            <w:pPr>
              <w:widowControl/>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kern w:val="0"/>
                <w:sz w:val="24"/>
                <w:szCs w:val="24"/>
                <w14:textFill>
                  <w14:solidFill>
                    <w14:schemeClr w14:val="tx1"/>
                  </w14:solidFill>
                </w14:textFill>
              </w:rPr>
              <w:t>个</w:t>
            </w:r>
          </w:p>
        </w:tc>
      </w:tr>
      <w:tr w14:paraId="2406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25849BB0">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13</w:t>
            </w:r>
          </w:p>
        </w:tc>
        <w:tc>
          <w:tcPr>
            <w:tcW w:w="793" w:type="pct"/>
            <w:vMerge w:val="restart"/>
            <w:vAlign w:val="center"/>
          </w:tcPr>
          <w:p w14:paraId="6B556482">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设计规模</w:t>
            </w:r>
          </w:p>
        </w:tc>
        <w:tc>
          <w:tcPr>
            <w:tcW w:w="1346" w:type="pct"/>
            <w:vMerge w:val="restart"/>
            <w:vAlign w:val="center"/>
          </w:tcPr>
          <w:p w14:paraId="45FDCA8F">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垃圾处理量</w:t>
            </w:r>
          </w:p>
        </w:tc>
        <w:tc>
          <w:tcPr>
            <w:tcW w:w="1218" w:type="pct"/>
            <w:vAlign w:val="center"/>
          </w:tcPr>
          <w:p w14:paraId="3450A931">
            <w:pPr>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29.2</w:t>
            </w:r>
          </w:p>
        </w:tc>
        <w:tc>
          <w:tcPr>
            <w:tcW w:w="1139" w:type="pct"/>
            <w:vAlign w:val="center"/>
          </w:tcPr>
          <w:p w14:paraId="15777D1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万吨/年</w:t>
            </w:r>
          </w:p>
        </w:tc>
      </w:tr>
      <w:tr w14:paraId="1E5D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2F81DAED">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14</w:t>
            </w:r>
          </w:p>
        </w:tc>
        <w:tc>
          <w:tcPr>
            <w:tcW w:w="793" w:type="pct"/>
            <w:vMerge w:val="continue"/>
            <w:vAlign w:val="center"/>
          </w:tcPr>
          <w:p w14:paraId="23B877A9">
            <w:pPr>
              <w:spacing w:line="240" w:lineRule="auto"/>
              <w:jc w:val="center"/>
              <w:rPr>
                <w:rFonts w:hint="eastAsia" w:ascii="仿宋" w:hAnsi="仿宋" w:cs="仿宋"/>
                <w:color w:val="000000" w:themeColor="text1"/>
                <w:spacing w:val="3"/>
                <w:sz w:val="24"/>
                <w:szCs w:val="24"/>
                <w14:textFill>
                  <w14:solidFill>
                    <w14:schemeClr w14:val="tx1"/>
                  </w14:solidFill>
                </w14:textFill>
              </w:rPr>
            </w:pPr>
          </w:p>
        </w:tc>
        <w:tc>
          <w:tcPr>
            <w:tcW w:w="1346" w:type="pct"/>
            <w:vMerge w:val="continue"/>
            <w:vAlign w:val="center"/>
          </w:tcPr>
          <w:p w14:paraId="76D365C2">
            <w:pPr>
              <w:spacing w:line="240" w:lineRule="auto"/>
              <w:jc w:val="center"/>
              <w:rPr>
                <w:rFonts w:hint="eastAsia" w:ascii="仿宋" w:hAnsi="仿宋" w:cs="仿宋"/>
                <w:color w:val="000000" w:themeColor="text1"/>
                <w:spacing w:val="3"/>
                <w:sz w:val="24"/>
                <w:szCs w:val="24"/>
                <w14:textFill>
                  <w14:solidFill>
                    <w14:schemeClr w14:val="tx1"/>
                  </w14:solidFill>
                </w14:textFill>
              </w:rPr>
            </w:pPr>
          </w:p>
        </w:tc>
        <w:tc>
          <w:tcPr>
            <w:tcW w:w="1218" w:type="pct"/>
            <w:vAlign w:val="center"/>
          </w:tcPr>
          <w:p w14:paraId="26F3BBBD">
            <w:pPr>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800</w:t>
            </w:r>
          </w:p>
        </w:tc>
        <w:tc>
          <w:tcPr>
            <w:tcW w:w="1139" w:type="pct"/>
            <w:vAlign w:val="center"/>
          </w:tcPr>
          <w:p w14:paraId="6F7609A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吨/天</w:t>
            </w:r>
          </w:p>
        </w:tc>
      </w:tr>
      <w:tr w14:paraId="688A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0AE73266">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15</w:t>
            </w:r>
          </w:p>
        </w:tc>
        <w:tc>
          <w:tcPr>
            <w:tcW w:w="793" w:type="pct"/>
            <w:vAlign w:val="center"/>
          </w:tcPr>
          <w:p w14:paraId="628534D7">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发电量</w:t>
            </w:r>
          </w:p>
        </w:tc>
        <w:tc>
          <w:tcPr>
            <w:tcW w:w="1346" w:type="pct"/>
            <w:vAlign w:val="center"/>
          </w:tcPr>
          <w:p w14:paraId="2B490861">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发电量</w:t>
            </w:r>
          </w:p>
        </w:tc>
        <w:tc>
          <w:tcPr>
            <w:tcW w:w="1218" w:type="pct"/>
            <w:vAlign w:val="center"/>
          </w:tcPr>
          <w:p w14:paraId="2BD336C6">
            <w:pPr>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8924.4</w:t>
            </w:r>
          </w:p>
        </w:tc>
        <w:tc>
          <w:tcPr>
            <w:tcW w:w="1139" w:type="pct"/>
            <w:vAlign w:val="center"/>
          </w:tcPr>
          <w:p w14:paraId="60E912F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万kW·h/年</w:t>
            </w:r>
          </w:p>
        </w:tc>
      </w:tr>
      <w:tr w14:paraId="00E2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17A86C0B">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16</w:t>
            </w:r>
          </w:p>
        </w:tc>
        <w:tc>
          <w:tcPr>
            <w:tcW w:w="793" w:type="pct"/>
            <w:vAlign w:val="center"/>
          </w:tcPr>
          <w:p w14:paraId="3345A907">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作业时间</w:t>
            </w:r>
          </w:p>
        </w:tc>
        <w:tc>
          <w:tcPr>
            <w:tcW w:w="1346" w:type="pct"/>
            <w:vAlign w:val="center"/>
          </w:tcPr>
          <w:p w14:paraId="127252E1">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作业时间</w:t>
            </w:r>
          </w:p>
        </w:tc>
        <w:tc>
          <w:tcPr>
            <w:tcW w:w="1218" w:type="pct"/>
            <w:vAlign w:val="center"/>
          </w:tcPr>
          <w:p w14:paraId="46E23357">
            <w:pPr>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≥8000</w:t>
            </w:r>
          </w:p>
        </w:tc>
        <w:tc>
          <w:tcPr>
            <w:tcW w:w="1139" w:type="pct"/>
            <w:vAlign w:val="center"/>
          </w:tcPr>
          <w:p w14:paraId="6ED873E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小时/年</w:t>
            </w:r>
          </w:p>
        </w:tc>
      </w:tr>
      <w:tr w14:paraId="18A6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502" w:type="pct"/>
            <w:vAlign w:val="center"/>
          </w:tcPr>
          <w:p w14:paraId="100C689C">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17</w:t>
            </w:r>
          </w:p>
        </w:tc>
        <w:tc>
          <w:tcPr>
            <w:tcW w:w="793" w:type="pct"/>
            <w:vAlign w:val="center"/>
          </w:tcPr>
          <w:p w14:paraId="4715D960">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劳动定员</w:t>
            </w:r>
          </w:p>
        </w:tc>
        <w:tc>
          <w:tcPr>
            <w:tcW w:w="1346" w:type="pct"/>
            <w:vAlign w:val="center"/>
          </w:tcPr>
          <w:p w14:paraId="2C411FC4">
            <w:pPr>
              <w:spacing w:line="240" w:lineRule="auto"/>
              <w:jc w:val="center"/>
              <w:rPr>
                <w:rFonts w:hint="eastAsia" w:ascii="仿宋" w:hAnsi="仿宋" w:cs="仿宋"/>
                <w:color w:val="000000" w:themeColor="text1"/>
                <w:spacing w:val="-3"/>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劳动定员</w:t>
            </w:r>
          </w:p>
        </w:tc>
        <w:tc>
          <w:tcPr>
            <w:tcW w:w="1218" w:type="pct"/>
            <w:vAlign w:val="center"/>
          </w:tcPr>
          <w:p w14:paraId="596C62F1">
            <w:pPr>
              <w:spacing w:line="240" w:lineRule="auto"/>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73</w:t>
            </w:r>
          </w:p>
        </w:tc>
        <w:tc>
          <w:tcPr>
            <w:tcW w:w="1139" w:type="pct"/>
            <w:vAlign w:val="center"/>
          </w:tcPr>
          <w:p w14:paraId="2E1C8EF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人</w:t>
            </w:r>
          </w:p>
        </w:tc>
      </w:tr>
    </w:tbl>
    <w:p w14:paraId="09F0C8FC">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highlight w:val="none"/>
          <w:lang w:val="en-US" w:eastAsia="zh-CN"/>
          <w14:textFill>
            <w14:solidFill>
              <w14:schemeClr w14:val="tx1"/>
            </w14:solidFill>
          </w14:textFill>
        </w:rPr>
      </w:pPr>
      <w:bookmarkStart w:id="97" w:name="_Toc18585"/>
      <w:r>
        <w:rPr>
          <w:rFonts w:hint="eastAsia"/>
          <w:color w:val="000000" w:themeColor="text1"/>
          <w:highlight w:val="none"/>
          <w:lang w:val="en-US" w:eastAsia="zh-CN"/>
          <w14:textFill>
            <w14:solidFill>
              <w14:schemeClr w14:val="tx1"/>
            </w14:solidFill>
          </w14:textFill>
        </w:rPr>
        <w:t>经济分析表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3358"/>
        <w:gridCol w:w="3389"/>
        <w:gridCol w:w="1166"/>
      </w:tblGrid>
      <w:tr w14:paraId="5FF9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BDD6EE" w:themeFill="accent1" w:themeFillTint="66"/>
            <w:noWrap/>
            <w:vAlign w:val="center"/>
          </w:tcPr>
          <w:p w14:paraId="755B2D2E">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序号</w:t>
            </w:r>
          </w:p>
        </w:tc>
        <w:tc>
          <w:tcPr>
            <w:tcW w:w="1969" w:type="pct"/>
            <w:shd w:val="clear" w:color="auto" w:fill="BDD6EE" w:themeFill="accent1" w:themeFillTint="66"/>
            <w:noWrap/>
            <w:vAlign w:val="center"/>
          </w:tcPr>
          <w:p w14:paraId="45E14269">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名称</w:t>
            </w:r>
          </w:p>
        </w:tc>
        <w:tc>
          <w:tcPr>
            <w:tcW w:w="1987" w:type="pct"/>
            <w:shd w:val="clear" w:color="auto" w:fill="BDD6EE" w:themeFill="accent1" w:themeFillTint="66"/>
            <w:noWrap/>
            <w:vAlign w:val="center"/>
          </w:tcPr>
          <w:p w14:paraId="6DBD83FE">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数值</w:t>
            </w:r>
          </w:p>
        </w:tc>
        <w:tc>
          <w:tcPr>
            <w:tcW w:w="684" w:type="pct"/>
            <w:shd w:val="clear" w:color="auto" w:fill="BDD6EE" w:themeFill="accent1" w:themeFillTint="66"/>
            <w:noWrap/>
            <w:vAlign w:val="center"/>
          </w:tcPr>
          <w:p w14:paraId="1A7D9CEA">
            <w:pPr>
              <w:keepNext w:val="0"/>
              <w:keepLines w:val="0"/>
              <w:widowControl/>
              <w:suppressLineNumbers w:val="0"/>
              <w:spacing w:before="0" w:beforeAutospacing="0" w:after="0" w:afterAutospacing="0"/>
              <w:ind w:left="0" w:right="0"/>
              <w:jc w:val="center"/>
              <w:textAlignment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kern w:val="0"/>
                <w:sz w:val="24"/>
                <w:szCs w:val="24"/>
                <w:lang w:bidi="ar"/>
                <w14:textFill>
                  <w14:solidFill>
                    <w14:schemeClr w14:val="tx1"/>
                  </w14:solidFill>
                </w14:textFill>
              </w:rPr>
              <w:t>单位</w:t>
            </w:r>
          </w:p>
        </w:tc>
      </w:tr>
      <w:tr w14:paraId="5D14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00658AD3">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w:t>
            </w:r>
          </w:p>
        </w:tc>
        <w:tc>
          <w:tcPr>
            <w:tcW w:w="1969" w:type="pct"/>
            <w:shd w:val="clear" w:color="auto" w:fill="FFFFFF"/>
            <w:noWrap/>
            <w:vAlign w:val="center"/>
          </w:tcPr>
          <w:p w14:paraId="528B782C">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运营成本</w:t>
            </w:r>
          </w:p>
        </w:tc>
        <w:tc>
          <w:tcPr>
            <w:tcW w:w="1987" w:type="pct"/>
            <w:shd w:val="clear" w:color="auto" w:fill="FFFFFF"/>
            <w:noWrap/>
            <w:vAlign w:val="center"/>
          </w:tcPr>
          <w:p w14:paraId="4B8E20AD">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153.36</w:t>
            </w:r>
          </w:p>
        </w:tc>
        <w:tc>
          <w:tcPr>
            <w:tcW w:w="684" w:type="pct"/>
            <w:shd w:val="clear" w:color="auto" w:fill="FFFFFF"/>
            <w:noWrap/>
            <w:vAlign w:val="center"/>
          </w:tcPr>
          <w:p w14:paraId="26887C45">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元/吨</w:t>
            </w:r>
          </w:p>
        </w:tc>
      </w:tr>
      <w:tr w14:paraId="535C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67443D92">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w:t>
            </w:r>
          </w:p>
        </w:tc>
        <w:tc>
          <w:tcPr>
            <w:tcW w:w="1969" w:type="pct"/>
            <w:shd w:val="clear" w:color="auto" w:fill="FFFFFF"/>
            <w:noWrap/>
            <w:vAlign w:val="center"/>
          </w:tcPr>
          <w:p w14:paraId="3FFAF76F">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年平均总成本</w:t>
            </w:r>
          </w:p>
        </w:tc>
        <w:tc>
          <w:tcPr>
            <w:tcW w:w="1987" w:type="pct"/>
            <w:shd w:val="clear" w:color="auto" w:fill="FFFFFF"/>
            <w:noWrap/>
            <w:vAlign w:val="center"/>
          </w:tcPr>
          <w:p w14:paraId="19F33EA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5861.30</w:t>
            </w:r>
          </w:p>
        </w:tc>
        <w:tc>
          <w:tcPr>
            <w:tcW w:w="684" w:type="pct"/>
            <w:shd w:val="clear" w:color="auto" w:fill="FFFFFF"/>
            <w:noWrap/>
            <w:vAlign w:val="center"/>
          </w:tcPr>
          <w:p w14:paraId="23B78B00">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万元/年</w:t>
            </w:r>
          </w:p>
        </w:tc>
      </w:tr>
      <w:tr w14:paraId="2A09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147373B3">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w:t>
            </w:r>
          </w:p>
        </w:tc>
        <w:tc>
          <w:tcPr>
            <w:tcW w:w="1969" w:type="pct"/>
            <w:shd w:val="clear" w:color="auto" w:fill="FFFFFF"/>
            <w:noWrap/>
            <w:vAlign w:val="center"/>
          </w:tcPr>
          <w:p w14:paraId="2C2A5EE3">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垃圾处理费</w:t>
            </w:r>
          </w:p>
        </w:tc>
        <w:tc>
          <w:tcPr>
            <w:tcW w:w="1987" w:type="pct"/>
            <w:shd w:val="clear" w:color="auto" w:fill="FFFFFF"/>
            <w:noWrap/>
            <w:vAlign w:val="center"/>
          </w:tcPr>
          <w:p w14:paraId="70870187">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170.00</w:t>
            </w:r>
          </w:p>
        </w:tc>
        <w:tc>
          <w:tcPr>
            <w:tcW w:w="684" w:type="pct"/>
            <w:shd w:val="clear" w:color="auto" w:fill="FFFFFF"/>
            <w:noWrap/>
            <w:vAlign w:val="center"/>
          </w:tcPr>
          <w:p w14:paraId="06529ACC">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元/吨</w:t>
            </w:r>
          </w:p>
        </w:tc>
      </w:tr>
      <w:tr w14:paraId="5379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3E72897E">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1969" w:type="pct"/>
            <w:shd w:val="clear" w:color="auto" w:fill="FFFFFF"/>
            <w:noWrap/>
            <w:vAlign w:val="center"/>
          </w:tcPr>
          <w:p w14:paraId="4B117D9D">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年均垃圾处理费收入</w:t>
            </w:r>
          </w:p>
        </w:tc>
        <w:tc>
          <w:tcPr>
            <w:tcW w:w="1987" w:type="pct"/>
            <w:shd w:val="clear" w:color="auto" w:fill="FFFFFF"/>
            <w:noWrap/>
            <w:vAlign w:val="center"/>
          </w:tcPr>
          <w:p w14:paraId="790CDD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4646.05</w:t>
            </w:r>
          </w:p>
        </w:tc>
        <w:tc>
          <w:tcPr>
            <w:tcW w:w="684" w:type="pct"/>
            <w:shd w:val="clear" w:color="auto" w:fill="FFFFFF"/>
            <w:noWrap/>
            <w:vAlign w:val="center"/>
          </w:tcPr>
          <w:p w14:paraId="7DA8E583">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万元/年</w:t>
            </w:r>
          </w:p>
        </w:tc>
      </w:tr>
      <w:tr w14:paraId="22A9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055EB310">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5</w:t>
            </w:r>
          </w:p>
        </w:tc>
        <w:tc>
          <w:tcPr>
            <w:tcW w:w="1969" w:type="pct"/>
            <w:shd w:val="clear" w:color="auto" w:fill="FFFFFF"/>
            <w:noWrap/>
            <w:vAlign w:val="center"/>
          </w:tcPr>
          <w:p w14:paraId="1D0827DC">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上网电价</w:t>
            </w:r>
          </w:p>
        </w:tc>
        <w:tc>
          <w:tcPr>
            <w:tcW w:w="1987" w:type="pct"/>
            <w:shd w:val="clear" w:color="auto" w:fill="FFFFFF"/>
            <w:noWrap/>
            <w:vAlign w:val="center"/>
          </w:tcPr>
          <w:p w14:paraId="5CEDDB7E">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0.3829（前15年）/0.2829（后23年）</w:t>
            </w:r>
          </w:p>
        </w:tc>
        <w:tc>
          <w:tcPr>
            <w:tcW w:w="684" w:type="pct"/>
            <w:shd w:val="clear" w:color="auto" w:fill="FFFFFF"/>
            <w:noWrap/>
            <w:vAlign w:val="center"/>
          </w:tcPr>
          <w:p w14:paraId="2C0A4FEF">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元/</w:t>
            </w:r>
            <w:r>
              <w:rPr>
                <w:rFonts w:hint="eastAsia" w:ascii="仿宋" w:hAnsi="仿宋" w:cs="仿宋"/>
                <w:color w:val="000000" w:themeColor="text1"/>
                <w:sz w:val="24"/>
                <w:szCs w:val="24"/>
                <w14:textFill>
                  <w14:solidFill>
                    <w14:schemeClr w14:val="tx1"/>
                  </w14:solidFill>
                </w14:textFill>
              </w:rPr>
              <w:t>kWh</w:t>
            </w:r>
          </w:p>
        </w:tc>
      </w:tr>
      <w:tr w14:paraId="57C6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54A96961">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w:t>
            </w:r>
          </w:p>
        </w:tc>
        <w:tc>
          <w:tcPr>
            <w:tcW w:w="1969" w:type="pct"/>
            <w:shd w:val="clear" w:color="auto" w:fill="FFFFFF"/>
            <w:noWrap/>
            <w:vAlign w:val="center"/>
          </w:tcPr>
          <w:p w14:paraId="023C9711">
            <w:pPr>
              <w:keepNext w:val="0"/>
              <w:keepLines w:val="0"/>
              <w:widowControl/>
              <w:suppressLineNumbers w:val="0"/>
              <w:spacing w:before="0" w:beforeAutospacing="0" w:after="0" w:afterAutospacing="0"/>
              <w:ind w:left="0" w:right="0"/>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运营期前15年年均垃圾发电收入</w:t>
            </w:r>
          </w:p>
        </w:tc>
        <w:tc>
          <w:tcPr>
            <w:tcW w:w="1987" w:type="pct"/>
            <w:shd w:val="clear" w:color="auto" w:fill="FFFFFF"/>
            <w:noWrap/>
            <w:vAlign w:val="center"/>
          </w:tcPr>
          <w:p w14:paraId="697C1F1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kern w:val="0"/>
                <w:sz w:val="24"/>
                <w:szCs w:val="24"/>
                <w:lang w:val="en-US" w:eastAsia="zh-CN" w:bidi="ar"/>
                <w14:textFill>
                  <w14:solidFill>
                    <w14:schemeClr w14:val="tx1"/>
                  </w14:solidFill>
                </w14:textFill>
              </w:rPr>
              <w:t>3133.23</w:t>
            </w:r>
          </w:p>
        </w:tc>
        <w:tc>
          <w:tcPr>
            <w:tcW w:w="684" w:type="pct"/>
            <w:shd w:val="clear" w:color="auto" w:fill="FFFFFF"/>
            <w:noWrap/>
            <w:vAlign w:val="center"/>
          </w:tcPr>
          <w:p w14:paraId="59C0E2B6">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万元/年</w:t>
            </w:r>
          </w:p>
        </w:tc>
      </w:tr>
      <w:tr w14:paraId="6D5D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6C1A2D1F">
            <w:pPr>
              <w:keepNext w:val="0"/>
              <w:keepLines w:val="0"/>
              <w:widowControl/>
              <w:suppressLineNumbers w:val="0"/>
              <w:spacing w:before="0" w:beforeAutospacing="0" w:after="0" w:afterAutospacing="0"/>
              <w:ind w:left="0" w:right="0"/>
              <w:jc w:val="center"/>
              <w:textAlignment w:val="center"/>
              <w:rPr>
                <w:rFonts w:hint="eastAsia" w:ascii="仿宋" w:hAnsi="仿宋" w:cs="仿宋"/>
                <w:bCs/>
                <w:color w:val="000000" w:themeColor="text1"/>
                <w:sz w:val="24"/>
                <w:szCs w:val="24"/>
                <w14:textFill>
                  <w14:solidFill>
                    <w14:schemeClr w14:val="tx1"/>
                  </w14:solidFill>
                </w14:textFill>
              </w:rPr>
            </w:pPr>
            <w:r>
              <w:rPr>
                <w:rFonts w:hint="eastAsia" w:ascii="仿宋" w:hAnsi="仿宋" w:cs="仿宋"/>
                <w:bCs/>
                <w:color w:val="000000" w:themeColor="text1"/>
                <w:kern w:val="0"/>
                <w:sz w:val="24"/>
                <w:szCs w:val="24"/>
                <w:lang w:bidi="ar"/>
                <w14:textFill>
                  <w14:solidFill>
                    <w14:schemeClr w14:val="tx1"/>
                  </w14:solidFill>
                </w14:textFill>
              </w:rPr>
              <w:t>7</w:t>
            </w:r>
          </w:p>
        </w:tc>
        <w:tc>
          <w:tcPr>
            <w:tcW w:w="1969" w:type="pct"/>
            <w:shd w:val="clear" w:color="auto" w:fill="FFFFFF"/>
            <w:noWrap/>
            <w:vAlign w:val="center"/>
          </w:tcPr>
          <w:p w14:paraId="4341E13E">
            <w:pPr>
              <w:keepNext w:val="0"/>
              <w:keepLines w:val="0"/>
              <w:widowControl/>
              <w:suppressLineNumbers w:val="0"/>
              <w:spacing w:before="0" w:beforeAutospacing="0" w:after="0" w:afterAutospacing="0"/>
              <w:ind w:left="0" w:right="0"/>
              <w:textAlignment w:val="center"/>
              <w:rPr>
                <w:rFonts w:hint="eastAsia" w:ascii="仿宋" w:hAnsi="仿宋" w:cs="仿宋"/>
                <w:bCs/>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运营期后23年年均垃圾发电收入</w:t>
            </w:r>
          </w:p>
        </w:tc>
        <w:tc>
          <w:tcPr>
            <w:tcW w:w="1987" w:type="pct"/>
            <w:shd w:val="clear" w:color="auto" w:fill="FFFFFF"/>
            <w:noWrap/>
            <w:vAlign w:val="center"/>
          </w:tcPr>
          <w:p w14:paraId="516ADF6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Cs/>
                <w:color w:val="000000" w:themeColor="text1"/>
                <w:sz w:val="24"/>
                <w:szCs w:val="24"/>
                <w:lang w:val="en-US" w:eastAsia="zh-CN"/>
                <w14:textFill>
                  <w14:solidFill>
                    <w14:schemeClr w14:val="tx1"/>
                  </w14:solidFill>
                </w14:textFill>
              </w:rPr>
            </w:pPr>
            <w:r>
              <w:rPr>
                <w:rFonts w:hint="eastAsia" w:ascii="仿宋" w:hAnsi="仿宋" w:cs="仿宋"/>
                <w:bCs/>
                <w:color w:val="000000" w:themeColor="text1"/>
                <w:kern w:val="0"/>
                <w:sz w:val="24"/>
                <w:szCs w:val="24"/>
                <w:lang w:val="en-US" w:eastAsia="zh-CN" w:bidi="ar"/>
                <w14:textFill>
                  <w14:solidFill>
                    <w14:schemeClr w14:val="tx1"/>
                  </w14:solidFill>
                </w14:textFill>
              </w:rPr>
              <w:t>2427.03</w:t>
            </w:r>
          </w:p>
        </w:tc>
        <w:tc>
          <w:tcPr>
            <w:tcW w:w="684" w:type="pct"/>
            <w:shd w:val="clear" w:color="auto" w:fill="FFFFFF"/>
            <w:noWrap/>
            <w:vAlign w:val="center"/>
          </w:tcPr>
          <w:p w14:paraId="0C09C1D3">
            <w:pPr>
              <w:keepNext w:val="0"/>
              <w:keepLines w:val="0"/>
              <w:widowControl/>
              <w:suppressLineNumbers w:val="0"/>
              <w:spacing w:before="0" w:beforeAutospacing="0" w:after="0" w:afterAutospacing="0"/>
              <w:ind w:left="0" w:right="0"/>
              <w:jc w:val="center"/>
              <w:textAlignment w:val="center"/>
              <w:rPr>
                <w:rFonts w:hint="eastAsia" w:ascii="仿宋" w:hAnsi="仿宋" w:cs="仿宋"/>
                <w:bCs/>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万元/年</w:t>
            </w:r>
          </w:p>
        </w:tc>
      </w:tr>
      <w:tr w14:paraId="7DC7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333B2525">
            <w:pPr>
              <w:keepNext w:val="0"/>
              <w:keepLines w:val="0"/>
              <w:widowControl/>
              <w:suppressLineNumbers w:val="0"/>
              <w:spacing w:before="0" w:beforeAutospacing="0" w:after="0" w:afterAutospacing="0"/>
              <w:ind w:left="0" w:right="0"/>
              <w:jc w:val="center"/>
              <w:textAlignment w:val="center"/>
              <w:rPr>
                <w:rFonts w:hint="eastAsia" w:ascii="仿宋" w:hAnsi="仿宋" w:cs="仿宋"/>
                <w:bCs/>
                <w:color w:val="000000" w:themeColor="text1"/>
                <w:kern w:val="0"/>
                <w:sz w:val="24"/>
                <w:szCs w:val="24"/>
                <w:lang w:bidi="ar"/>
                <w14:textFill>
                  <w14:solidFill>
                    <w14:schemeClr w14:val="tx1"/>
                  </w14:solidFill>
                </w14:textFill>
              </w:rPr>
            </w:pPr>
            <w:r>
              <w:rPr>
                <w:rFonts w:hint="eastAsia" w:ascii="仿宋" w:hAnsi="仿宋" w:cs="仿宋"/>
                <w:bCs/>
                <w:color w:val="000000" w:themeColor="text1"/>
                <w:kern w:val="0"/>
                <w:sz w:val="24"/>
                <w:szCs w:val="24"/>
                <w:lang w:bidi="ar"/>
                <w14:textFill>
                  <w14:solidFill>
                    <w14:schemeClr w14:val="tx1"/>
                  </w14:solidFill>
                </w14:textFill>
              </w:rPr>
              <w:t>8</w:t>
            </w:r>
          </w:p>
        </w:tc>
        <w:tc>
          <w:tcPr>
            <w:tcW w:w="1969" w:type="pct"/>
            <w:shd w:val="clear" w:color="auto" w:fill="FFFFFF"/>
            <w:noWrap/>
            <w:vAlign w:val="center"/>
          </w:tcPr>
          <w:p w14:paraId="7F0CD72D">
            <w:pPr>
              <w:keepNext w:val="0"/>
              <w:keepLines w:val="0"/>
              <w:widowControl/>
              <w:suppressLineNumbers w:val="0"/>
              <w:spacing w:before="0" w:beforeAutospacing="0" w:after="0" w:afterAutospacing="0"/>
              <w:ind w:left="0" w:right="0"/>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项目资本金财务内部收益率</w:t>
            </w:r>
          </w:p>
        </w:tc>
        <w:tc>
          <w:tcPr>
            <w:tcW w:w="1987" w:type="pct"/>
            <w:shd w:val="clear" w:color="auto" w:fill="FFFFFF"/>
            <w:noWrap/>
            <w:vAlign w:val="center"/>
          </w:tcPr>
          <w:p w14:paraId="2AA7D8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Cs/>
                <w:color w:val="000000" w:themeColor="text1"/>
                <w:kern w:val="0"/>
                <w:sz w:val="24"/>
                <w:szCs w:val="24"/>
                <w:lang w:val="en-US" w:eastAsia="zh-CN" w:bidi="ar"/>
                <w14:textFill>
                  <w14:solidFill>
                    <w14:schemeClr w14:val="tx1"/>
                  </w14:solidFill>
                </w14:textFill>
              </w:rPr>
            </w:pPr>
            <w:r>
              <w:rPr>
                <w:rFonts w:hint="eastAsia" w:ascii="仿宋" w:hAnsi="仿宋" w:cs="仿宋"/>
                <w:bCs/>
                <w:color w:val="000000" w:themeColor="text1"/>
                <w:kern w:val="0"/>
                <w:sz w:val="24"/>
                <w:szCs w:val="24"/>
                <w:lang w:val="en-US" w:eastAsia="zh-CN" w:bidi="ar"/>
                <w14:textFill>
                  <w14:solidFill>
                    <w14:schemeClr w14:val="tx1"/>
                  </w14:solidFill>
                </w14:textFill>
              </w:rPr>
              <w:t>5.81</w:t>
            </w:r>
          </w:p>
        </w:tc>
        <w:tc>
          <w:tcPr>
            <w:tcW w:w="684" w:type="pct"/>
            <w:shd w:val="clear" w:color="auto" w:fill="FFFFFF"/>
            <w:noWrap/>
            <w:vAlign w:val="center"/>
          </w:tcPr>
          <w:p w14:paraId="0420EA3F">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r>
      <w:tr w14:paraId="7EC2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57" w:type="pct"/>
            <w:shd w:val="clear" w:color="auto" w:fill="FFFFFF"/>
            <w:noWrap/>
            <w:vAlign w:val="center"/>
          </w:tcPr>
          <w:p w14:paraId="5D1D23B0">
            <w:pPr>
              <w:keepNext w:val="0"/>
              <w:keepLines w:val="0"/>
              <w:widowControl/>
              <w:suppressLineNumbers w:val="0"/>
              <w:spacing w:before="0" w:beforeAutospacing="0" w:after="0" w:afterAutospacing="0"/>
              <w:ind w:left="0" w:right="0"/>
              <w:jc w:val="center"/>
              <w:textAlignment w:val="center"/>
              <w:rPr>
                <w:rFonts w:hint="eastAsia" w:ascii="仿宋" w:hAnsi="仿宋" w:cs="仿宋"/>
                <w:bCs/>
                <w:color w:val="000000" w:themeColor="text1"/>
                <w:kern w:val="0"/>
                <w:sz w:val="24"/>
                <w:szCs w:val="24"/>
                <w:lang w:bidi="ar"/>
                <w14:textFill>
                  <w14:solidFill>
                    <w14:schemeClr w14:val="tx1"/>
                  </w14:solidFill>
                </w14:textFill>
              </w:rPr>
            </w:pPr>
            <w:r>
              <w:rPr>
                <w:rFonts w:hint="eastAsia" w:ascii="仿宋" w:hAnsi="仿宋" w:cs="仿宋"/>
                <w:bCs/>
                <w:color w:val="000000" w:themeColor="text1"/>
                <w:kern w:val="0"/>
                <w:sz w:val="24"/>
                <w:szCs w:val="24"/>
                <w:lang w:bidi="ar"/>
                <w14:textFill>
                  <w14:solidFill>
                    <w14:schemeClr w14:val="tx1"/>
                  </w14:solidFill>
                </w14:textFill>
              </w:rPr>
              <w:t>9</w:t>
            </w:r>
          </w:p>
        </w:tc>
        <w:tc>
          <w:tcPr>
            <w:tcW w:w="1969" w:type="pct"/>
            <w:shd w:val="clear" w:color="auto" w:fill="FFFFFF"/>
            <w:noWrap/>
            <w:vAlign w:val="center"/>
          </w:tcPr>
          <w:p w14:paraId="41EEF905">
            <w:pPr>
              <w:keepNext w:val="0"/>
              <w:keepLines w:val="0"/>
              <w:widowControl/>
              <w:suppressLineNumbers w:val="0"/>
              <w:spacing w:before="0" w:beforeAutospacing="0" w:after="0" w:afterAutospacing="0"/>
              <w:ind w:left="0" w:right="0"/>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项目投资财务内部收益率(所得税后)</w:t>
            </w:r>
          </w:p>
        </w:tc>
        <w:tc>
          <w:tcPr>
            <w:tcW w:w="1987" w:type="pct"/>
            <w:shd w:val="clear" w:color="auto" w:fill="FFFFFF"/>
            <w:noWrap/>
            <w:vAlign w:val="center"/>
          </w:tcPr>
          <w:p w14:paraId="07D405B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Cs/>
                <w:color w:val="000000" w:themeColor="text1"/>
                <w:kern w:val="0"/>
                <w:sz w:val="24"/>
                <w:szCs w:val="24"/>
                <w:lang w:val="en-US" w:eastAsia="zh-CN" w:bidi="ar"/>
                <w14:textFill>
                  <w14:solidFill>
                    <w14:schemeClr w14:val="tx1"/>
                  </w14:solidFill>
                </w14:textFill>
              </w:rPr>
            </w:pPr>
            <w:r>
              <w:rPr>
                <w:rFonts w:hint="eastAsia" w:ascii="仿宋" w:hAnsi="仿宋" w:cs="仿宋"/>
                <w:bCs/>
                <w:color w:val="000000" w:themeColor="text1"/>
                <w:kern w:val="0"/>
                <w:sz w:val="24"/>
                <w:szCs w:val="24"/>
                <w:lang w:val="en-US" w:eastAsia="zh-CN" w:bidi="ar"/>
                <w14:textFill>
                  <w14:solidFill>
                    <w14:schemeClr w14:val="tx1"/>
                  </w14:solidFill>
                </w14:textFill>
              </w:rPr>
              <w:t>2.47</w:t>
            </w:r>
          </w:p>
        </w:tc>
        <w:tc>
          <w:tcPr>
            <w:tcW w:w="684" w:type="pct"/>
            <w:shd w:val="clear" w:color="auto" w:fill="FFFFFF"/>
            <w:noWrap/>
            <w:vAlign w:val="center"/>
          </w:tcPr>
          <w:p w14:paraId="6BED0417">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w:t>
            </w:r>
          </w:p>
        </w:tc>
      </w:tr>
    </w:tbl>
    <w:p w14:paraId="14C37CE8">
      <w:pPr>
        <w:pStyle w:val="6"/>
        <w:spacing w:before="156" w:after="156"/>
        <w:outlineLvl w:val="2"/>
        <w:rPr>
          <w:color w:val="000000" w:themeColor="text1"/>
          <w14:textFill>
            <w14:solidFill>
              <w14:schemeClr w14:val="tx1"/>
            </w14:solidFill>
          </w14:textFill>
        </w:rPr>
      </w:pPr>
      <w:bookmarkStart w:id="98" w:name="_Toc31835"/>
      <w:r>
        <w:rPr>
          <w:rFonts w:hint="eastAsia"/>
          <w:color w:val="000000" w:themeColor="text1"/>
          <w14:textFill>
            <w14:solidFill>
              <w14:schemeClr w14:val="tx1"/>
            </w14:solidFill>
          </w14:textFill>
        </w:rPr>
        <w:t>前期工作进展情况</w:t>
      </w:r>
      <w:bookmarkEnd w:id="97"/>
      <w:bookmarkEnd w:id="98"/>
    </w:p>
    <w:p w14:paraId="2A9B80C3">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2021年，包头市人民政府决定规划实施本项目</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包头市城管局作为本项目行政主管单位委托包头市环卫产业公司开展相关前期工作。环卫产业公司聘请中国城市建设研究院有限公司进行了项目可行性研究报告的编制。</w:t>
      </w:r>
      <w:r>
        <w:rPr>
          <w:rFonts w:hint="eastAsia"/>
          <w:color w:val="000000" w:themeColor="text1"/>
          <w14:textFill>
            <w14:solidFill>
              <w14:schemeClr w14:val="tx1"/>
            </w14:solidFill>
          </w14:textFill>
        </w:rPr>
        <w:t>2022年完成项目用地区域文物调查、军事设施调查、水源地保护区调查、天然林草地调查、占用生态保护红线和永久基本农田调查的办理。2023年完成地震断层咨询、中水接入及电力接入征询意见、“洪评”办理意见及社会稳定风险评估备案等手续的办理。2023年3月16日召开的城市规划委员会会议上通过选址审核，2023年8月按规委会要求完成应急资源储备库的复函工作，9月完成建设用地勘测定界报告编制。2024年3月底昆区自然资源局对土地预审与选址组件手续进行初审，4月9日昆区自然资源局提出焚烧发电项目要按现行选址组件要求编制节地专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4月中旬委托第三方编制节地专章报告</w:t>
      </w:r>
      <w:r>
        <w:rPr>
          <w:rFonts w:hint="eastAsia"/>
          <w:color w:val="000000" w:themeColor="text1"/>
          <w:lang w:eastAsia="zh-CN"/>
          <w14:textFill>
            <w14:solidFill>
              <w14:schemeClr w14:val="tx1"/>
            </w14:solidFill>
          </w14:textFill>
        </w:rPr>
        <w:t>，2024年8月16日包头市自然资源局</w:t>
      </w:r>
      <w:r>
        <w:rPr>
          <w:rFonts w:hint="eastAsia"/>
          <w:color w:val="000000" w:themeColor="text1"/>
          <w:lang w:val="en-US" w:eastAsia="zh-CN"/>
          <w14:textFill>
            <w14:solidFill>
              <w14:schemeClr w14:val="tx1"/>
            </w14:solidFill>
          </w14:textFill>
        </w:rPr>
        <w:t>正式</w:t>
      </w:r>
      <w:r>
        <w:rPr>
          <w:rFonts w:hint="eastAsia"/>
          <w:color w:val="000000" w:themeColor="text1"/>
          <w:lang w:eastAsia="zh-CN"/>
          <w14:textFill>
            <w14:solidFill>
              <w14:schemeClr w14:val="tx1"/>
            </w14:solidFill>
          </w14:textFill>
        </w:rPr>
        <w:t>出具《建设项目用地预审与选址意见书》(用字第150200202400024号)。</w:t>
      </w:r>
    </w:p>
    <w:p w14:paraId="2AA78053">
      <w:pPr>
        <w:pStyle w:val="5"/>
        <w:outlineLvl w:val="1"/>
        <w:rPr>
          <w:color w:val="000000" w:themeColor="text1"/>
          <w14:textFill>
            <w14:solidFill>
              <w14:schemeClr w14:val="tx1"/>
            </w14:solidFill>
          </w14:textFill>
        </w:rPr>
      </w:pPr>
      <w:bookmarkStart w:id="99" w:name="_Toc32118"/>
      <w:bookmarkStart w:id="100" w:name="_Toc12520"/>
      <w:r>
        <w:rPr>
          <w:rFonts w:hint="eastAsia"/>
          <w:color w:val="000000" w:themeColor="text1"/>
          <w14:textFill>
            <w14:solidFill>
              <w14:schemeClr w14:val="tx1"/>
            </w14:solidFill>
          </w14:textFill>
        </w:rPr>
        <w:t>项目实施机构等</w:t>
      </w:r>
      <w:bookmarkEnd w:id="99"/>
      <w:bookmarkEnd w:id="100"/>
    </w:p>
    <w:p w14:paraId="76F2AE91">
      <w:pPr>
        <w:ind w:firstLine="56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cs="仿宋"/>
          <w:color w:val="000000" w:themeColor="text1"/>
          <w14:textFill>
            <w14:solidFill>
              <w14:schemeClr w14:val="tx1"/>
            </w14:solidFill>
          </w14:textFill>
        </w:rPr>
        <w:t>本项目采用特许经营模式进行运作，由包头市人民政府授权包头市城市管理局作为项目实施机构，具体负责本项目准备、采购、签约、执行、监管和移交等实施工作，并作为合同的签约主体与项目公司签署特许经营协议。</w:t>
      </w:r>
      <w:r>
        <w:rPr>
          <w:rFonts w:hint="eastAsia" w:ascii="仿宋" w:hAnsi="仿宋" w:cs="仿宋"/>
          <w:color w:val="000000" w:themeColor="text1"/>
          <w:lang w:val="en-US" w:eastAsia="zh-CN"/>
          <w14:textFill>
            <w14:solidFill>
              <w14:schemeClr w14:val="tx1"/>
            </w14:solidFill>
          </w14:textFill>
        </w:rPr>
        <w:t>相关授权文件见附件1。</w:t>
      </w:r>
    </w:p>
    <w:p w14:paraId="571FD647">
      <w:pPr>
        <w:ind w:firstLine="56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cs="仿宋"/>
          <w:color w:val="000000" w:themeColor="text1"/>
          <w14:textFill>
            <w14:solidFill>
              <w14:schemeClr w14:val="tx1"/>
            </w14:solidFill>
          </w14:textFill>
        </w:rPr>
        <w:t>包头市城市管理局通过法定程序选择社会资本，包头市人民政府授权包头市环卫产业有限责任公司作为政府方出资代表与中选社会资本在包头市共同组建项目公司，在特许经营期内负责本项目的投资、融资、勘察设计、建设、运营、维护及移交等工作。</w:t>
      </w:r>
      <w:r>
        <w:rPr>
          <w:rFonts w:hint="eastAsia" w:ascii="仿宋" w:hAnsi="仿宋" w:cs="仿宋"/>
          <w:color w:val="000000" w:themeColor="text1"/>
          <w:lang w:val="en-US" w:eastAsia="zh-CN"/>
          <w14:textFill>
            <w14:solidFill>
              <w14:schemeClr w14:val="tx1"/>
            </w14:solidFill>
          </w14:textFill>
        </w:rPr>
        <w:t>包头市环卫产业公司所完成的项目前期工作成果未来均由项目公司承继。</w:t>
      </w:r>
    </w:p>
    <w:p w14:paraId="183399F5">
      <w:pPr>
        <w:pStyle w:val="6"/>
        <w:spacing w:before="156" w:after="156"/>
        <w:ind w:firstLine="397"/>
        <w:outlineLvl w:val="2"/>
        <w:rPr>
          <w:color w:val="000000" w:themeColor="text1"/>
          <w14:textFill>
            <w14:solidFill>
              <w14:schemeClr w14:val="tx1"/>
            </w14:solidFill>
          </w14:textFill>
        </w:rPr>
      </w:pPr>
      <w:bookmarkStart w:id="101" w:name="_Toc21248"/>
      <w:r>
        <w:rPr>
          <w:rFonts w:hint="eastAsia"/>
          <w:color w:val="000000" w:themeColor="text1"/>
          <w:lang w:val="en-US" w:eastAsia="zh-CN"/>
          <w14:textFill>
            <w14:solidFill>
              <w14:schemeClr w14:val="tx1"/>
            </w14:solidFill>
          </w14:textFill>
        </w:rPr>
        <w:t>实施机构简介</w:t>
      </w:r>
      <w:bookmarkEnd w:id="101"/>
    </w:p>
    <w:p w14:paraId="24FE4011">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包头市城市管理局是包头市人民政府工作部门，负责贯彻执行城市管理方面的法律、法规和方针、政策，拟定全市城市管理规范性文件并组织实施，承担市政设施、园林绿化、市容市貌、环境卫生管理等城市管理工作，负责组织查处辖区内跨区域和具有重大影响的复杂案件以及本领域内行政执法的监督、指导、组织、协调等工作。</w:t>
      </w:r>
    </w:p>
    <w:p w14:paraId="61984E43">
      <w:pPr>
        <w:pStyle w:val="6"/>
        <w:spacing w:before="156" w:after="156"/>
        <w:ind w:firstLine="397"/>
        <w:outlineLvl w:val="2"/>
        <w:rPr>
          <w:rFonts w:hint="default"/>
          <w:color w:val="000000" w:themeColor="text1"/>
          <w:lang w:val="en-US" w:eastAsia="zh-CN"/>
          <w14:textFill>
            <w14:solidFill>
              <w14:schemeClr w14:val="tx1"/>
            </w14:solidFill>
          </w14:textFill>
        </w:rPr>
      </w:pPr>
      <w:bookmarkStart w:id="102" w:name="_Toc13613"/>
      <w:r>
        <w:rPr>
          <w:rFonts w:hint="eastAsia"/>
          <w:color w:val="000000" w:themeColor="text1"/>
          <w:lang w:val="en-US" w:eastAsia="zh-CN"/>
          <w14:textFill>
            <w14:solidFill>
              <w14:schemeClr w14:val="tx1"/>
            </w14:solidFill>
          </w14:textFill>
        </w:rPr>
        <w:t>实施机构主要职责</w:t>
      </w:r>
      <w:bookmarkEnd w:id="102"/>
    </w:p>
    <w:p w14:paraId="763C82C1">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牢牢把握铸牢中华民族共同体意识工作主线，将之贯穿于园林绿化建设管理、市政设施建设管理、市容市貌管理、环境卫生管理、执法监督以及自身建设等全过程各方面。</w:t>
      </w:r>
    </w:p>
    <w:p w14:paraId="5B667F5A">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贯彻执行有关城市管理工作的法律法规、政策规定等。拟订全市城市管理方面的地方性法规规章草案和规范性文件，并组织实施。</w:t>
      </w:r>
    </w:p>
    <w:p w14:paraId="73E7163F">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负责全市城市管理工作的组织协调、业务指导、执法监督。</w:t>
      </w:r>
    </w:p>
    <w:p w14:paraId="1A39C279">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研究制订城市管理行业年度计划及相关专项规划并组织实施。负责本领域内重点建设项目的前期工作及组织实施。指导城市园林绿化、市政管理工作，研究拟订相关规范并组织实施。负责市政管理方面挖掘、穿越城市道路的行政许可工作；负责园林绿化管理方面临时占用城市绿化用地、砍伐城市树木的行政许可工作；承担城市规划区绿地、公园及市政基础设施的建设、维护、管理。组织园林科研项目申报和实施，指导技术引进和科技成果推广应用。</w:t>
      </w:r>
    </w:p>
    <w:p w14:paraId="683F591E">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指导历史文化名城申报、城市雕塑管理工作。</w:t>
      </w:r>
    </w:p>
    <w:p w14:paraId="4F88F5DE">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负责城镇污水处理主管部门及运营单位规范化管理考核工作；指导城市规划区、石拐区、白云矿区和旗县政府所在地的排水设施维护及污水处理设施运营、社会化服务管理工作。</w:t>
      </w:r>
    </w:p>
    <w:p w14:paraId="3D1D4F4F">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指导城市环境卫生管理工作，研究拟订环境卫生管理规范并组织实施。指导全市建筑垃圾和生活垃圾管理以及全市环境卫生设施和工程项目的建设管理。组织并指导全市生活垃圾分类、环卫科研项目及成果推广应用、环卫作业市场化等工作。</w:t>
      </w:r>
    </w:p>
    <w:p w14:paraId="323C7A5D">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负责指导城市市容市貌管理工作。会同相关部门编制和修订城市户外广告专项规划、设置技术规范。</w:t>
      </w:r>
    </w:p>
    <w:p w14:paraId="0CA9B87F">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负责指导停车场规划建设和管理工作，指导旗县区、稀土高新区开展路外(路缘石以上至合法建筑物之间)公共收费机动车停车场的备案和静态停车秩序管理工作。负责共享单车管理工作。</w:t>
      </w:r>
    </w:p>
    <w:p w14:paraId="27D75801">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负责城市管理方面数字化信息平台的规划、建设、应用、管理和指导工作。</w:t>
      </w:r>
    </w:p>
    <w:p w14:paraId="730F694E">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组织查处跨区域和具有重大影响的复杂案件，以及本领域内行政执法的监督指导、组织协调。指导全市城市管理及城市管理综合执法队伍建设。</w:t>
      </w:r>
    </w:p>
    <w:p w14:paraId="098284B3">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rPr>
          <w:rFonts w:hint="default" w:ascii="仿宋" w:hAnsi="仿宋" w:cs="仿宋"/>
          <w:color w:val="000000" w:themeColor="text1"/>
          <w:lang w:val="en-US" w:eastAsia="zh-CN"/>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完成市委、市政府交办的其他任务。</w:t>
      </w:r>
    </w:p>
    <w:p w14:paraId="7B6C4751">
      <w:pPr>
        <w:pStyle w:val="6"/>
        <w:spacing w:before="156" w:after="156"/>
        <w:ind w:firstLine="397"/>
        <w:outlineLvl w:val="2"/>
        <w:rPr>
          <w:color w:val="000000" w:themeColor="text1"/>
          <w14:textFill>
            <w14:solidFill>
              <w14:schemeClr w14:val="tx1"/>
            </w14:solidFill>
          </w14:textFill>
        </w:rPr>
      </w:pPr>
      <w:bookmarkStart w:id="103" w:name="_Toc24119"/>
      <w:r>
        <w:rPr>
          <w:rFonts w:hint="eastAsia"/>
          <w:color w:val="000000" w:themeColor="text1"/>
          <w14:textFill>
            <w14:solidFill>
              <w14:schemeClr w14:val="tx1"/>
            </w14:solidFill>
          </w14:textFill>
        </w:rPr>
        <w:t>政府方出资代表简介</w:t>
      </w:r>
      <w:bookmarkEnd w:id="103"/>
    </w:p>
    <w:p w14:paraId="03F8F35A">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包头市环卫产业有限责任公司于2001年6月成立，是一家专业从事道路机械化清扫、垃圾消纳处置的公益性国有独资企业，公司注册资本金5000万元。2022年9月22日，按照市政府国有企业改革要求，隶属关系调整至包头市水务集团。公司下设五个二级单位和两个控股公司：机械化道路机扫站、生活垃圾处理中心、东河垃圾填埋场、建筑渣土处理场、城市垃圾转运中心、包头市市卫同兴渣土清运公司、包头市固废再生资源利用有限责任公司。</w:t>
      </w:r>
    </w:p>
    <w:p w14:paraId="3429D988">
      <w:pPr>
        <w:pStyle w:val="6"/>
        <w:spacing w:before="156" w:after="156"/>
        <w:ind w:firstLine="397"/>
        <w:outlineLvl w:val="2"/>
        <w:rPr>
          <w:color w:val="000000" w:themeColor="text1"/>
          <w14:textFill>
            <w14:solidFill>
              <w14:schemeClr w14:val="tx1"/>
            </w14:solidFill>
          </w14:textFill>
        </w:rPr>
      </w:pPr>
      <w:bookmarkStart w:id="104" w:name="_Toc14747"/>
      <w:r>
        <w:rPr>
          <w:rFonts w:hint="eastAsia"/>
          <w:color w:val="000000" w:themeColor="text1"/>
          <w14:textFill>
            <w14:solidFill>
              <w14:schemeClr w14:val="tx1"/>
            </w14:solidFill>
          </w14:textFill>
        </w:rPr>
        <w:t>政府方出资代表</w:t>
      </w:r>
      <w:r>
        <w:rPr>
          <w:rFonts w:hint="eastAsia"/>
          <w:color w:val="000000" w:themeColor="text1"/>
          <w:lang w:val="en-US" w:eastAsia="zh-CN"/>
          <w14:textFill>
            <w14:solidFill>
              <w14:schemeClr w14:val="tx1"/>
            </w14:solidFill>
          </w14:textFill>
        </w:rPr>
        <w:t>主要职责</w:t>
      </w:r>
      <w:bookmarkEnd w:id="104"/>
    </w:p>
    <w:p w14:paraId="350D9B2B">
      <w:pPr>
        <w:keepNext w:val="0"/>
        <w:keepLines w:val="0"/>
        <w:pageBreakBefore w:val="0"/>
        <w:widowControl w:val="0"/>
        <w:numPr>
          <w:ilvl w:val="0"/>
          <w:numId w:val="12"/>
        </w:numPr>
        <w:kinsoku/>
        <w:wordWrap/>
        <w:overflowPunct/>
        <w:topLinePunct w:val="0"/>
        <w:autoSpaceDE/>
        <w:autoSpaceDN/>
        <w:bidi w:val="0"/>
        <w:adjustRightInd/>
        <w:snapToGrid/>
        <w:ind w:left="0" w:leftChars="0" w:firstLine="560" w:firstLineChars="200"/>
        <w:textAlignment w:val="auto"/>
        <w:rPr>
          <w:rFonts w:hint="eastAsia" w:ascii="仿宋" w:hAnsi="仿宋" w:cs="仿宋"/>
          <w:color w:val="000000" w:themeColor="text1"/>
          <w:lang w:val="en-US" w:eastAsia="zh-CN"/>
          <w14:textFill>
            <w14:solidFill>
              <w14:schemeClr w14:val="tx1"/>
            </w14:solidFill>
          </w14:textFill>
        </w:rPr>
      </w:pPr>
      <w:r>
        <w:rPr>
          <w:rFonts w:hint="eastAsia" w:ascii="仿宋" w:hAnsi="仿宋" w:cs="仿宋"/>
          <w:color w:val="000000" w:themeColor="text1"/>
          <w:lang w:val="en-US" w:eastAsia="zh-CN"/>
          <w14:textFill>
            <w14:solidFill>
              <w14:schemeClr w14:val="tx1"/>
            </w14:solidFill>
          </w14:textFill>
        </w:rPr>
        <w:t>‌</w:t>
      </w:r>
      <w:r>
        <w:rPr>
          <w:rFonts w:hint="default" w:ascii="仿宋" w:hAnsi="仿宋" w:cs="仿宋"/>
          <w:color w:val="000000" w:themeColor="text1"/>
          <w:lang w:val="en-US" w:eastAsia="zh-CN"/>
          <w14:textFill>
            <w14:solidFill>
              <w14:schemeClr w14:val="tx1"/>
            </w14:solidFill>
          </w14:textFill>
        </w:rPr>
        <w:t>道路机械化清扫‌：公司负责城市道路的机械化清扫工作，确保道路清洁和市容整洁。</w:t>
      </w:r>
    </w:p>
    <w:p w14:paraId="195521A6">
      <w:pPr>
        <w:keepNext w:val="0"/>
        <w:keepLines w:val="0"/>
        <w:pageBreakBefore w:val="0"/>
        <w:widowControl w:val="0"/>
        <w:numPr>
          <w:ilvl w:val="0"/>
          <w:numId w:val="12"/>
        </w:numPr>
        <w:kinsoku/>
        <w:wordWrap/>
        <w:overflowPunct/>
        <w:topLinePunct w:val="0"/>
        <w:autoSpaceDE/>
        <w:autoSpaceDN/>
        <w:bidi w:val="0"/>
        <w:adjustRightInd/>
        <w:snapToGrid/>
        <w:ind w:left="0" w:leftChars="0" w:firstLine="560" w:firstLineChars="200"/>
        <w:textAlignment w:val="auto"/>
        <w:rPr>
          <w:rFonts w:hint="eastAsia"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‌垃圾综合处理‌：包括垃圾的收集、运输、处理和处置，确保垃圾得到合理、有效的处理，减少环境污染。</w:t>
      </w:r>
    </w:p>
    <w:p w14:paraId="058D2B70">
      <w:pPr>
        <w:keepNext w:val="0"/>
        <w:keepLines w:val="0"/>
        <w:pageBreakBefore w:val="0"/>
        <w:widowControl w:val="0"/>
        <w:numPr>
          <w:ilvl w:val="0"/>
          <w:numId w:val="12"/>
        </w:numPr>
        <w:kinsoku/>
        <w:wordWrap/>
        <w:overflowPunct/>
        <w:topLinePunct w:val="0"/>
        <w:autoSpaceDE/>
        <w:autoSpaceDN/>
        <w:bidi w:val="0"/>
        <w:adjustRightInd/>
        <w:snapToGrid/>
        <w:ind w:left="0" w:leftChars="0" w:firstLine="560" w:firstLineChars="200"/>
        <w:textAlignment w:val="auto"/>
        <w:rPr>
          <w:rFonts w:hint="eastAsia"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‌环卫设备设施管理‌：负责环卫设备设施的采购、维护和管理，确保设备设施的正常运行和有效使用。</w:t>
      </w:r>
    </w:p>
    <w:p w14:paraId="30A40C98">
      <w:pPr>
        <w:keepNext w:val="0"/>
        <w:keepLines w:val="0"/>
        <w:pageBreakBefore w:val="0"/>
        <w:widowControl w:val="0"/>
        <w:numPr>
          <w:ilvl w:val="0"/>
          <w:numId w:val="12"/>
        </w:numPr>
        <w:kinsoku/>
        <w:wordWrap/>
        <w:overflowPunct/>
        <w:topLinePunct w:val="0"/>
        <w:autoSpaceDE/>
        <w:autoSpaceDN/>
        <w:bidi w:val="0"/>
        <w:adjustRightInd/>
        <w:snapToGrid/>
        <w:ind w:left="0" w:leftChars="0" w:firstLine="560" w:firstLineChars="200"/>
        <w:textAlignment w:val="auto"/>
        <w:rPr>
          <w:rFonts w:hint="eastAsia" w:ascii="仿宋" w:hAnsi="仿宋" w:cs="仿宋"/>
          <w:color w:val="000000" w:themeColor="text1"/>
          <w:lang w:val="en-US" w:eastAsia="zh-CN"/>
          <w14:textFill>
            <w14:solidFill>
              <w14:schemeClr w14:val="tx1"/>
            </w14:solidFill>
          </w14:textFill>
        </w:rPr>
      </w:pPr>
      <w:r>
        <w:rPr>
          <w:rFonts w:hint="default" w:ascii="仿宋" w:hAnsi="仿宋" w:cs="仿宋"/>
          <w:color w:val="000000" w:themeColor="text1"/>
          <w:lang w:val="en-US" w:eastAsia="zh-CN"/>
          <w14:textFill>
            <w14:solidFill>
              <w14:schemeClr w14:val="tx1"/>
            </w14:solidFill>
          </w14:textFill>
        </w:rPr>
        <w:t>‌城市环卫工程建设管理‌：承担城市环卫工程的建设和管理工作，如垃圾处理厂、转运站等环卫设施的建设和维护。</w:t>
      </w:r>
    </w:p>
    <w:p w14:paraId="788B4256">
      <w:pPr>
        <w:keepNext w:val="0"/>
        <w:keepLines w:val="0"/>
        <w:pageBreakBefore w:val="0"/>
        <w:widowControl w:val="0"/>
        <w:numPr>
          <w:ilvl w:val="0"/>
          <w:numId w:val="12"/>
        </w:numPr>
        <w:kinsoku/>
        <w:wordWrap/>
        <w:overflowPunct/>
        <w:topLinePunct w:val="0"/>
        <w:autoSpaceDE/>
        <w:autoSpaceDN/>
        <w:bidi w:val="0"/>
        <w:adjustRightInd/>
        <w:snapToGrid/>
        <w:ind w:left="0" w:leftChars="0" w:firstLine="560" w:firstLineChars="200"/>
        <w:textAlignment w:val="auto"/>
      </w:pPr>
      <w:r>
        <w:rPr>
          <w:rFonts w:hint="default" w:ascii="仿宋" w:hAnsi="仿宋" w:cs="仿宋"/>
          <w:color w:val="000000" w:themeColor="text1"/>
          <w:lang w:val="en-US" w:eastAsia="zh-CN"/>
          <w14:textFill>
            <w14:solidFill>
              <w14:schemeClr w14:val="tx1"/>
            </w14:solidFill>
          </w14:textFill>
        </w:rPr>
        <w:t>‌再生资源开发‌：利用先进的技术和手段，对垃圾进行资源化利用，开发再生资源，促进循环经济的发展</w:t>
      </w:r>
      <w:r>
        <w:rPr>
          <w:rFonts w:hint="default" w:ascii="Arial" w:hAnsi="Arial" w:eastAsia="Arial" w:cs="Arial"/>
          <w:i w:val="0"/>
          <w:iCs w:val="0"/>
          <w:caps w:val="0"/>
          <w:color w:val="333333"/>
          <w:spacing w:val="0"/>
          <w:sz w:val="16"/>
          <w:szCs w:val="16"/>
          <w:shd w:val="clear" w:fill="FFFFFF"/>
        </w:rPr>
        <w:t>‌</w:t>
      </w:r>
    </w:p>
    <w:p w14:paraId="009C802B">
      <w:pPr>
        <w:pStyle w:val="5"/>
        <w:outlineLvl w:val="1"/>
        <w:rPr>
          <w:color w:val="000000" w:themeColor="text1"/>
          <w14:textFill>
            <w14:solidFill>
              <w14:schemeClr w14:val="tx1"/>
            </w14:solidFill>
          </w14:textFill>
        </w:rPr>
      </w:pPr>
      <w:bookmarkStart w:id="105" w:name="_Toc28417"/>
      <w:bookmarkStart w:id="106" w:name="_Toc5209"/>
      <w:r>
        <w:rPr>
          <w:rFonts w:hint="eastAsia"/>
          <w:color w:val="000000" w:themeColor="text1"/>
          <w14:textFill>
            <w14:solidFill>
              <w14:schemeClr w14:val="tx1"/>
            </w14:solidFill>
          </w14:textFill>
        </w:rPr>
        <w:t>特许经营主要内容</w:t>
      </w:r>
      <w:bookmarkEnd w:id="105"/>
      <w:bookmarkEnd w:id="106"/>
    </w:p>
    <w:p w14:paraId="0EED9524">
      <w:pPr>
        <w:pStyle w:val="6"/>
        <w:spacing w:before="156" w:after="156"/>
        <w:outlineLvl w:val="2"/>
        <w:rPr>
          <w:color w:val="000000" w:themeColor="text1"/>
          <w14:textFill>
            <w14:solidFill>
              <w14:schemeClr w14:val="tx1"/>
            </w14:solidFill>
          </w14:textFill>
        </w:rPr>
      </w:pPr>
      <w:bookmarkStart w:id="107" w:name="_Toc11275"/>
      <w:bookmarkStart w:id="108" w:name="_Toc7084"/>
      <w:r>
        <w:rPr>
          <w:color w:val="000000" w:themeColor="text1"/>
          <w14:textFill>
            <w14:solidFill>
              <w14:schemeClr w14:val="tx1"/>
            </w14:solidFill>
          </w14:textFill>
        </w:rPr>
        <w:t>收费渠道和方式</w:t>
      </w:r>
      <w:bookmarkEnd w:id="107"/>
      <w:bookmarkEnd w:id="108"/>
    </w:p>
    <w:p w14:paraId="4B16EADF">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垃圾处理</w:t>
      </w:r>
      <w:r>
        <w:rPr>
          <w:rFonts w:hint="eastAsia"/>
          <w:color w:val="000000" w:themeColor="text1"/>
          <w:lang w:val="en-US" w:eastAsia="zh-CN"/>
          <w14:textFill>
            <w14:solidFill>
              <w14:schemeClr w14:val="tx1"/>
            </w14:solidFill>
          </w14:textFill>
        </w:rPr>
        <w:t>运行补贴</w:t>
      </w:r>
    </w:p>
    <w:p w14:paraId="5FFCCAF3">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照《包头市人民政府办公室关于印发生活垃圾处理运行补贴标准的通知》（包府办发〔2025〕80号），本项目炉排炉工艺处理补贴最高不超过170元/吨（不含收运），故本方案暂按照170元/吨为上限计算垃圾处理运行补贴费用，具体价格以招标结果为准，本补贴仅用于补贴运营，不补贴建设。</w:t>
      </w:r>
    </w:p>
    <w:p w14:paraId="76191A58">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根据《包头市发展和改革委员会 包头市城市管理局关于包头市主城区生活垃圾处理费标准的通知》（包发改价费字〔2025〕749号）《包头市人民政府办公室关于印发包头市城镇生活垃圾处理费收费管理办法的通知》（包府办发〔2026〕4号）“包头市主城区（昆区、青山区、东河区、九原区、石拐新区）行政区域内所有产生城镇生活垃圾的国家机关、企事业单位、个体经营者、城镇居民等，均应按规定缴纳生活垃圾处理费”，垃圾处理费收费途径为随水费征收，向居民收取的垃圾费由政府指定部门专项管理，统筹使用，提高本项目资金支付保障。</w:t>
      </w:r>
    </w:p>
    <w:p w14:paraId="7B87958C">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售电收入</w:t>
      </w:r>
    </w:p>
    <w:p w14:paraId="0066C936">
      <w:pPr>
        <w:ind w:firstLine="560" w:firstLineChars="200"/>
        <w:rPr>
          <w:rFonts w:hint="default" w:eastAsia="仿宋"/>
          <w:color w:val="000000" w:themeColor="text1"/>
          <w:lang w:val="en-US" w:eastAsia="zh-CN"/>
          <w14:textFill>
            <w14:solidFill>
              <w14:schemeClr w14:val="tx1"/>
            </w14:solidFill>
          </w14:textFill>
        </w:rPr>
      </w:pPr>
      <w:r>
        <w:rPr>
          <w:color w:val="000000" w:themeColor="text1"/>
          <w14:textFill>
            <w14:solidFill>
              <w14:schemeClr w14:val="tx1"/>
            </w14:solidFill>
          </w14:textFill>
        </w:rPr>
        <w:t>本工程投产后向电网输送电力，可获得一定收益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用以维持焚烧厂的正常运行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本项目全生命周期售电收入约10.28亿元，按照折现率3.6%计算结果为5.76亿元，可以覆盖项目全部建设投资。</w:t>
      </w:r>
    </w:p>
    <w:p w14:paraId="4B7F3D4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项目公司以上述收入</w:t>
      </w:r>
      <w:r>
        <w:rPr>
          <w:rFonts w:hint="eastAsia"/>
          <w:color w:val="000000" w:themeColor="text1"/>
          <w:lang w:val="en-US" w:eastAsia="zh-CN"/>
          <w14:textFill>
            <w14:solidFill>
              <w14:schemeClr w14:val="tx1"/>
            </w14:solidFill>
          </w14:textFill>
        </w:rPr>
        <w:t>收回建设投资、</w:t>
      </w:r>
      <w:r>
        <w:rPr>
          <w:color w:val="000000" w:themeColor="text1"/>
          <w14:textFill>
            <w14:solidFill>
              <w14:schemeClr w14:val="tx1"/>
            </w14:solidFill>
          </w14:textFill>
        </w:rPr>
        <w:t>支付运营维护成本</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偿还债务本息</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缴纳税费，并自负盈亏。</w:t>
      </w:r>
    </w:p>
    <w:p w14:paraId="6B5F934A">
      <w:pPr>
        <w:pStyle w:val="6"/>
        <w:spacing w:before="156" w:after="156"/>
        <w:outlineLvl w:val="2"/>
        <w:rPr>
          <w:color w:val="000000" w:themeColor="text1"/>
          <w14:textFill>
            <w14:solidFill>
              <w14:schemeClr w14:val="tx1"/>
            </w14:solidFill>
          </w14:textFill>
        </w:rPr>
      </w:pPr>
      <w:bookmarkStart w:id="109" w:name="_Toc24865"/>
      <w:bookmarkStart w:id="110" w:name="_Toc15537"/>
      <w:r>
        <w:rPr>
          <w:color w:val="000000" w:themeColor="text1"/>
          <w14:textFill>
            <w14:solidFill>
              <w14:schemeClr w14:val="tx1"/>
            </w14:solidFill>
          </w14:textFill>
        </w:rPr>
        <w:t>特许经营实施方式</w:t>
      </w:r>
      <w:bookmarkEnd w:id="109"/>
      <w:bookmarkEnd w:id="110"/>
    </w:p>
    <w:p w14:paraId="4CA27E0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项目，投资规模较大，运营周期长，运营成本高。对于新建项目，如采用传统政府投资建设并主导运营的模式实施将以年度为单位进行预算列支，地方财政支出压力较大，建设和运营过程也难以衔接，难以实现全生命周期内成本的整合和节约；而采用特许经营模式实施本项目的具体模式为“建设-</w:t>
      </w:r>
      <w:r>
        <w:rPr>
          <w:rFonts w:hint="eastAsia"/>
          <w:color w:val="000000" w:themeColor="text1"/>
          <w:lang w:val="en-US" w:eastAsia="zh-CN"/>
          <w14:textFill>
            <w14:solidFill>
              <w14:schemeClr w14:val="tx1"/>
            </w14:solidFill>
          </w14:textFill>
        </w:rPr>
        <w:t>拥有-</w:t>
      </w:r>
      <w:r>
        <w:rPr>
          <w:rFonts w:hint="eastAsia"/>
          <w:color w:val="000000" w:themeColor="text1"/>
          <w14:textFill>
            <w14:solidFill>
              <w14:schemeClr w14:val="tx1"/>
            </w14:solidFill>
          </w14:textFill>
        </w:rPr>
        <w:t>运营-移交（B</w:t>
      </w:r>
      <w:r>
        <w:rPr>
          <w:rFonts w:hint="eastAsia"/>
          <w:color w:val="000000" w:themeColor="text1"/>
          <w:lang w:val="en-US" w:eastAsia="zh-CN"/>
          <w14:textFill>
            <w14:solidFill>
              <w14:schemeClr w14:val="tx1"/>
            </w14:solidFill>
          </w14:textFill>
        </w:rPr>
        <w:t>O</w:t>
      </w:r>
      <w:r>
        <w:rPr>
          <w:rFonts w:hint="eastAsia"/>
          <w:color w:val="000000" w:themeColor="text1"/>
          <w14:textFill>
            <w14:solidFill>
              <w14:schemeClr w14:val="tx1"/>
            </w14:solidFill>
          </w14:textFill>
        </w:rPr>
        <w:t>OT）”，在整个建设运营的周期内可通过引入具有丰富垃圾焚烧发电项目建设和运营管理经验或特许经营项目运作经验的社会资本，利用其先进的技术优势和运营管理经验，从而实现项目在未来整个生命周期内的高效管理，达到节约建设和运营管理成本的同时增加运营收入的效果，实现“开源节流”的目标。本项目回报机制为使用者付费，不会新增</w:t>
      </w:r>
      <w:r>
        <w:rPr>
          <w:rFonts w:hint="eastAsia"/>
          <w:color w:val="000000" w:themeColor="text1"/>
          <w:lang w:val="en-US" w:eastAsia="zh-CN"/>
          <w14:textFill>
            <w14:solidFill>
              <w14:schemeClr w14:val="tx1"/>
            </w14:solidFill>
          </w14:textFill>
        </w:rPr>
        <w:t>地方</w:t>
      </w:r>
      <w:r>
        <w:rPr>
          <w:rFonts w:hint="eastAsia"/>
          <w:color w:val="000000" w:themeColor="text1"/>
          <w14:textFill>
            <w14:solidFill>
              <w14:schemeClr w14:val="tx1"/>
            </w14:solidFill>
          </w14:textFill>
        </w:rPr>
        <w:t>政府</w:t>
      </w:r>
      <w:r>
        <w:rPr>
          <w:rFonts w:hint="eastAsia"/>
          <w:color w:val="000000" w:themeColor="text1"/>
          <w:lang w:val="en-US" w:eastAsia="zh-CN"/>
          <w14:textFill>
            <w14:solidFill>
              <w14:schemeClr w14:val="tx1"/>
            </w14:solidFill>
          </w14:textFill>
        </w:rPr>
        <w:t>隐性</w:t>
      </w:r>
      <w:r>
        <w:rPr>
          <w:rFonts w:hint="eastAsia"/>
          <w:color w:val="000000" w:themeColor="text1"/>
          <w14:textFill>
            <w14:solidFill>
              <w14:schemeClr w14:val="tx1"/>
            </w14:solidFill>
          </w14:textFill>
        </w:rPr>
        <w:t>债务，可采用BO</w:t>
      </w:r>
      <w:r>
        <w:rPr>
          <w:rFonts w:hint="eastAsia"/>
          <w:color w:val="000000" w:themeColor="text1"/>
          <w:lang w:val="en-US" w:eastAsia="zh-CN"/>
          <w14:textFill>
            <w14:solidFill>
              <w14:schemeClr w14:val="tx1"/>
            </w14:solidFill>
          </w14:textFill>
        </w:rPr>
        <w:t>O</w:t>
      </w:r>
      <w:r>
        <w:rPr>
          <w:rFonts w:hint="eastAsia"/>
          <w:color w:val="000000" w:themeColor="text1"/>
          <w14:textFill>
            <w14:solidFill>
              <w14:schemeClr w14:val="tx1"/>
            </w14:solidFill>
          </w14:textFill>
        </w:rPr>
        <w:t>T模式推进。</w:t>
      </w:r>
    </w:p>
    <w:p w14:paraId="10C903F2">
      <w:pPr>
        <w:pStyle w:val="6"/>
        <w:spacing w:before="156" w:after="156"/>
        <w:outlineLvl w:val="2"/>
        <w:rPr>
          <w:color w:val="000000" w:themeColor="text1"/>
          <w14:textFill>
            <w14:solidFill>
              <w14:schemeClr w14:val="tx1"/>
            </w14:solidFill>
          </w14:textFill>
        </w:rPr>
      </w:pPr>
      <w:bookmarkStart w:id="111" w:name="_Toc9153"/>
      <w:bookmarkStart w:id="112" w:name="_Toc12684"/>
      <w:r>
        <w:rPr>
          <w:color w:val="000000" w:themeColor="text1"/>
          <w14:textFill>
            <w14:solidFill>
              <w14:schemeClr w14:val="tx1"/>
            </w14:solidFill>
          </w14:textFill>
        </w:rPr>
        <w:t>特许经营期限</w:t>
      </w:r>
      <w:bookmarkEnd w:id="111"/>
      <w:bookmarkEnd w:id="112"/>
    </w:p>
    <w:p w14:paraId="0AA92000">
      <w:pPr>
        <w:ind w:firstLine="56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根据《关于规范实施政府和社会资本合作新机制的指导意见》（国办函〔2023〕115号）政策文</w:t>
      </w:r>
      <w:r>
        <w:rPr>
          <w:rFonts w:hint="eastAsia" w:ascii="仿宋" w:hAnsi="仿宋" w:cs="仿宋"/>
          <w:color w:val="000000" w:themeColor="text1"/>
          <w14:textFill>
            <w14:solidFill>
              <w14:schemeClr w14:val="tx1"/>
            </w14:solidFill>
          </w14:textFill>
        </w:rPr>
        <w:t>件“特许经营期限原则上不</w:t>
      </w:r>
      <w:r>
        <w:rPr>
          <w:rFonts w:cs="Times New Roman"/>
          <w:color w:val="000000" w:themeColor="text1"/>
          <w14:textFill>
            <w14:solidFill>
              <w14:schemeClr w14:val="tx1"/>
            </w14:solidFill>
          </w14:textFill>
        </w:rPr>
        <w:t>超过40年，投资规模大、回报周期长的特许经营项目可以根据实际情况适当延长，法律法规</w:t>
      </w:r>
      <w:r>
        <w:rPr>
          <w:rFonts w:hint="eastAsia" w:ascii="仿宋" w:hAnsi="仿宋" w:cs="仿宋"/>
          <w:color w:val="000000" w:themeColor="text1"/>
          <w14:textFill>
            <w14:solidFill>
              <w14:schemeClr w14:val="tx1"/>
            </w14:solidFill>
          </w14:textFill>
        </w:rPr>
        <w:t>另有规定的除外”精神</w:t>
      </w:r>
      <w:r>
        <w:rPr>
          <w:rFonts w:cs="Times New Roman"/>
          <w:color w:val="000000" w:themeColor="text1"/>
          <w14:textFill>
            <w14:solidFill>
              <w14:schemeClr w14:val="tx1"/>
            </w14:solidFill>
          </w14:textFill>
        </w:rPr>
        <w:t>，以及结合本项目财务分析，本项目特许经营期限包含建设期和运营期，具体安排如下：</w:t>
      </w:r>
    </w:p>
    <w:p w14:paraId="153D659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建设期：</w:t>
      </w:r>
      <w:r>
        <w:rPr>
          <w:rFonts w:hint="eastAsia"/>
          <w:color w:val="000000" w:themeColor="text1"/>
          <w:lang w:val="en-US" w:eastAsia="zh-CN"/>
          <w14:textFill>
            <w14:solidFill>
              <w14:schemeClr w14:val="tx1"/>
            </w14:solidFill>
          </w14:textFill>
        </w:rPr>
        <w:t>项目建设期</w:t>
      </w:r>
      <w:r>
        <w:rPr>
          <w:color w:val="000000" w:themeColor="text1"/>
          <w14:textFill>
            <w14:solidFill>
              <w14:schemeClr w14:val="tx1"/>
            </w14:solidFill>
          </w14:textFill>
        </w:rPr>
        <w:t>共</w:t>
      </w:r>
      <w:r>
        <w:rPr>
          <w:rFonts w:hint="eastAsia"/>
          <w:color w:val="000000" w:themeColor="text1"/>
          <w14:textFill>
            <w14:solidFill>
              <w14:schemeClr w14:val="tx1"/>
            </w14:solidFill>
          </w14:textFill>
        </w:rPr>
        <w:t>两（2）年</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包含前期准备工作期，</w:t>
      </w:r>
      <w:r>
        <w:rPr>
          <w:color w:val="000000" w:themeColor="text1"/>
          <w14:textFill>
            <w14:solidFill>
              <w14:schemeClr w14:val="tx1"/>
            </w14:solidFill>
          </w14:textFill>
        </w:rPr>
        <w:t>最终</w:t>
      </w:r>
      <w:r>
        <w:rPr>
          <w:rFonts w:hint="eastAsia"/>
          <w:color w:val="000000" w:themeColor="text1"/>
          <w:lang w:val="en-US" w:eastAsia="zh-CN"/>
          <w14:textFill>
            <w14:solidFill>
              <w14:schemeClr w14:val="tx1"/>
            </w14:solidFill>
          </w14:textFill>
        </w:rPr>
        <w:t>时间</w:t>
      </w:r>
      <w:r>
        <w:rPr>
          <w:color w:val="000000" w:themeColor="text1"/>
          <w14:textFill>
            <w14:solidFill>
              <w14:schemeClr w14:val="tx1"/>
            </w14:solidFill>
          </w14:textFill>
        </w:rPr>
        <w:t>以</w:t>
      </w:r>
      <w:r>
        <w:rPr>
          <w:rFonts w:hint="eastAsia"/>
          <w:color w:val="000000" w:themeColor="text1"/>
          <w:lang w:val="en-US" w:eastAsia="zh-CN"/>
          <w14:textFill>
            <w14:solidFill>
              <w14:schemeClr w14:val="tx1"/>
            </w14:solidFill>
          </w14:textFill>
        </w:rPr>
        <w:t>特许经营协议约定为准</w:t>
      </w:r>
      <w:r>
        <w:rPr>
          <w:color w:val="000000" w:themeColor="text1"/>
          <w14:textFill>
            <w14:solidFill>
              <w14:schemeClr w14:val="tx1"/>
            </w14:solidFill>
          </w14:textFill>
        </w:rPr>
        <w:t>。</w:t>
      </w:r>
    </w:p>
    <w:p w14:paraId="6F6FE1B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运营期：项目运营期按</w:t>
      </w:r>
      <w:r>
        <w:rPr>
          <w:rFonts w:hint="eastAsia"/>
          <w:color w:val="000000" w:themeColor="text1"/>
          <w14:textFill>
            <w14:solidFill>
              <w14:schemeClr w14:val="tx1"/>
            </w14:solidFill>
          </w14:textFill>
        </w:rPr>
        <w:t>38</w:t>
      </w:r>
      <w:r>
        <w:rPr>
          <w:color w:val="000000" w:themeColor="text1"/>
          <w14:textFill>
            <w14:solidFill>
              <w14:schemeClr w14:val="tx1"/>
            </w14:solidFill>
          </w14:textFill>
        </w:rPr>
        <w:t>年计，最终以</w:t>
      </w:r>
      <w:r>
        <w:rPr>
          <w:rFonts w:hint="eastAsia"/>
          <w:color w:val="000000" w:themeColor="text1"/>
          <w14:textFill>
            <w14:solidFill>
              <w14:schemeClr w14:val="tx1"/>
            </w14:solidFill>
          </w14:textFill>
        </w:rPr>
        <w:t>包头市</w:t>
      </w:r>
      <w:r>
        <w:rPr>
          <w:color w:val="000000" w:themeColor="text1"/>
          <w14:textFill>
            <w14:solidFill>
              <w14:schemeClr w14:val="tx1"/>
            </w14:solidFill>
          </w14:textFill>
        </w:rPr>
        <w:t>人民政府批复为准。</w:t>
      </w:r>
    </w:p>
    <w:p w14:paraId="32324334">
      <w:pPr>
        <w:pStyle w:val="6"/>
        <w:spacing w:before="156" w:after="156"/>
        <w:outlineLvl w:val="2"/>
        <w:rPr>
          <w:color w:val="000000" w:themeColor="text1"/>
          <w14:textFill>
            <w14:solidFill>
              <w14:schemeClr w14:val="tx1"/>
            </w14:solidFill>
          </w14:textFill>
        </w:rPr>
      </w:pPr>
      <w:bookmarkStart w:id="113" w:name="_Toc1202"/>
      <w:bookmarkStart w:id="114" w:name="_Toc4777"/>
      <w:r>
        <w:rPr>
          <w:color w:val="000000" w:themeColor="text1"/>
          <w14:textFill>
            <w14:solidFill>
              <w14:schemeClr w14:val="tx1"/>
            </w14:solidFill>
          </w14:textFill>
        </w:rPr>
        <w:t>特许经营者的条件和选择方式</w:t>
      </w:r>
      <w:bookmarkEnd w:id="113"/>
      <w:bookmarkEnd w:id="114"/>
    </w:p>
    <w:p w14:paraId="4D48FE2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选择方式</w:t>
      </w:r>
    </w:p>
    <w:p w14:paraId="044A0279">
      <w:pPr>
        <w:ind w:firstLine="560" w:firstLineChars="200"/>
        <w:rPr>
          <w:rFonts w:hint="eastAsia" w:ascii="仿宋" w:hAnsi="仿宋" w:cs="仿宋"/>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国家发展改革委等六部门修订后、自2024年5月1日起施行的《基础设施和公用事业特许经营管理办法》</w:t>
      </w:r>
      <w:r>
        <w:rPr>
          <w:color w:val="000000" w:themeColor="text1"/>
          <w14:textFill>
            <w14:solidFill>
              <w14:schemeClr w14:val="tx1"/>
            </w14:solidFill>
          </w14:textFill>
        </w:rPr>
        <w:t>第十</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条</w:t>
      </w:r>
      <w:r>
        <w:rPr>
          <w:rFonts w:hint="eastAsia" w:ascii="仿宋" w:hAnsi="仿宋" w:cs="仿宋"/>
          <w:color w:val="000000" w:themeColor="text1"/>
          <w14:textFill>
            <w14:solidFill>
              <w14:schemeClr w14:val="tx1"/>
            </w14:solidFill>
          </w14:textFill>
        </w:rPr>
        <w:t>规定，“实施机构根据经审定的特许经营方案，应当通过招标、谈判等公开竞争方式选择特许经营者”。</w:t>
      </w:r>
    </w:p>
    <w:p w14:paraId="264D7E3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《关于规范实施政府和社会资本合作新机制的指导意见》（国办函〔2023〕115号）第（八）条规定</w:t>
      </w:r>
      <w:r>
        <w:rPr>
          <w:rFonts w:hint="eastAsia" w:ascii="仿宋" w:hAnsi="仿宋" w:cs="仿宋"/>
          <w:color w:val="000000" w:themeColor="text1"/>
          <w14:textFill>
            <w14:solidFill>
              <w14:schemeClr w14:val="tx1"/>
            </w14:solidFill>
          </w14:textFill>
        </w:rPr>
        <w:t>，“项目实施机构应根据经批准的特许经营方案，通过公开竞争方式依法依规选择特许经营者”。</w:t>
      </w:r>
    </w:p>
    <w:p w14:paraId="05EF44B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综上所述，本项目拟通过公开招标方式选定特许经营者。</w:t>
      </w:r>
      <w:r>
        <w:rPr>
          <w:rFonts w:hint="eastAsia"/>
          <w:color w:val="000000" w:themeColor="text1"/>
          <w14:textFill>
            <w14:solidFill>
              <w14:schemeClr w14:val="tx1"/>
            </w14:solidFill>
          </w14:textFill>
        </w:rPr>
        <w:t>招标人结合招标工程实际编制招标公告和招标文件，并按有关规定在主管部门完成招标公告及招标文件备案后，方可发布。</w:t>
      </w:r>
    </w:p>
    <w:p w14:paraId="472CFB2C">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特许经营者的条件</w:t>
      </w:r>
    </w:p>
    <w:p w14:paraId="23ACB222">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《关于规范实施政府和社会资本合作新机制的指导意见》（国办函〔2023〕115号）</w:t>
      </w:r>
      <w:r>
        <w:rPr>
          <w:rFonts w:hint="eastAsia" w:ascii="仿宋" w:hAnsi="仿宋" w:cs="仿宋"/>
          <w:color w:val="000000" w:themeColor="text1"/>
          <w14:textFill>
            <w14:solidFill>
              <w14:schemeClr w14:val="tx1"/>
            </w14:solidFill>
          </w14:textFill>
        </w:rPr>
        <w:t>要求“要坚持初衷、回归本源，最大程度鼓励民营企业参与政府和社会资本合作新建（</w:t>
      </w:r>
      <w:r>
        <w:rPr>
          <w:color w:val="000000" w:themeColor="text1"/>
          <w14:textFill>
            <w14:solidFill>
              <w14:schemeClr w14:val="tx1"/>
            </w14:solidFill>
          </w14:textFill>
        </w:rPr>
        <w:t>含改扩建）项目，制定《支持民营企业参与的特许经营新建（含改扩建）项目清单（2023年版）》并</w:t>
      </w:r>
      <w:r>
        <w:rPr>
          <w:rFonts w:hint="eastAsia" w:ascii="仿宋" w:hAnsi="仿宋" w:cs="仿宋"/>
          <w:color w:val="000000" w:themeColor="text1"/>
          <w14:textFill>
            <w14:solidFill>
              <w14:schemeClr w14:val="tx1"/>
            </w14:solidFill>
          </w14:textFill>
        </w:rPr>
        <w:t>动态调整</w:t>
      </w:r>
      <w:r>
        <w:rPr>
          <w:rFonts w:hint="eastAsia" w:ascii="仿宋" w:hAnsi="仿宋" w:cs="仿宋"/>
          <w:color w:val="000000" w:themeColor="text1"/>
          <w:lang w:eastAsia="zh-CN"/>
          <w14:textFill>
            <w14:solidFill>
              <w14:schemeClr w14:val="tx1"/>
            </w14:solidFill>
          </w14:textFill>
        </w:rPr>
        <w:t>。市场化程度较高、公共属性较弱的项目，应由民营企业独资或控股；关系国计民生、公共属性较强的项目，民营企业股权占比原则上不低于35%；少数涉及国家安全、公共属性强且具有自然垄断属性的项目，应积极创造条件、支持民营企业参与。对清单所列领域以外的政府和社会资本合作项目，可积极鼓励民营企业参与。外商投资企业参与政府和社会资本合作项目按照外商投资管理有关要求并参照上述规定执行</w:t>
      </w:r>
      <w:r>
        <w:rPr>
          <w:rFonts w:hint="eastAsia" w:ascii="仿宋" w:hAnsi="仿宋" w:cs="仿宋"/>
          <w:color w:val="000000" w:themeColor="text1"/>
          <w14:textFill>
            <w14:solidFill>
              <w14:schemeClr w14:val="tx1"/>
            </w14:solidFill>
          </w14:textFill>
        </w:rPr>
        <w:t>”</w:t>
      </w:r>
      <w:r>
        <w:rPr>
          <w:rFonts w:hint="eastAsia" w:ascii="仿宋" w:hAnsi="仿宋" w:cs="仿宋"/>
          <w:color w:val="000000" w:themeColor="text1"/>
          <w:lang w:eastAsia="zh-CN"/>
          <w14:textFill>
            <w14:solidFill>
              <w14:schemeClr w14:val="tx1"/>
            </w14:solidFill>
          </w14:textFill>
        </w:rPr>
        <w:t>。</w:t>
      </w:r>
    </w:p>
    <w:p w14:paraId="333A927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属于上述“清单”中应由民营企业独资或控股的项目，</w:t>
      </w:r>
      <w:r>
        <w:rPr>
          <w:color w:val="000000" w:themeColor="text1"/>
          <w14:textFill>
            <w14:solidFill>
              <w14:schemeClr w14:val="tx1"/>
            </w14:solidFill>
          </w14:textFill>
        </w:rPr>
        <w:t>在特许经营者选择过程中，</w:t>
      </w:r>
      <w:r>
        <w:rPr>
          <w:rFonts w:hint="eastAsia"/>
          <w:color w:val="000000" w:themeColor="text1"/>
          <w:lang w:val="en-US" w:eastAsia="zh-CN"/>
          <w14:textFill>
            <w14:solidFill>
              <w14:schemeClr w14:val="tx1"/>
            </w14:solidFill>
          </w14:textFill>
        </w:rPr>
        <w:t>将</w:t>
      </w:r>
      <w:r>
        <w:rPr>
          <w:color w:val="000000" w:themeColor="text1"/>
          <w14:textFill>
            <w14:solidFill>
              <w14:schemeClr w14:val="tx1"/>
            </w14:solidFill>
          </w14:textFill>
        </w:rPr>
        <w:t>合理设置资格条件，积极创造条件、支持民营企业参与，不得以任何形式对民营企业参与本项目特许经营者竞争设置限制性门槛，不得针对民营企业设置不同的评价标准。</w:t>
      </w:r>
    </w:p>
    <w:p w14:paraId="55F2F7BC">
      <w:pPr>
        <w:pStyle w:val="6"/>
        <w:spacing w:before="156" w:after="156"/>
        <w:outlineLvl w:val="2"/>
        <w:rPr>
          <w:color w:val="000000" w:themeColor="text1"/>
          <w14:textFill>
            <w14:solidFill>
              <w14:schemeClr w14:val="tx1"/>
            </w14:solidFill>
          </w14:textFill>
        </w:rPr>
      </w:pPr>
      <w:bookmarkStart w:id="115" w:name="_Toc17344"/>
      <w:bookmarkStart w:id="116" w:name="_Toc4701"/>
      <w:r>
        <w:rPr>
          <w:color w:val="000000" w:themeColor="text1"/>
          <w14:textFill>
            <w14:solidFill>
              <w14:schemeClr w14:val="tx1"/>
            </w14:solidFill>
          </w14:textFill>
        </w:rPr>
        <w:t>特许经营服务范围</w:t>
      </w:r>
      <w:bookmarkEnd w:id="115"/>
      <w:bookmarkEnd w:id="116"/>
    </w:p>
    <w:p w14:paraId="5BBF93E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特许经营</w:t>
      </w:r>
      <w:r>
        <w:rPr>
          <w:rFonts w:hint="eastAsia"/>
          <w:color w:val="000000" w:themeColor="text1"/>
          <w14:textFill>
            <w14:solidFill>
              <w14:schemeClr w14:val="tx1"/>
            </w14:solidFill>
          </w14:textFill>
        </w:rPr>
        <w:t>范围为</w:t>
      </w:r>
      <w:r>
        <w:rPr>
          <w:color w:val="000000" w:themeColor="text1"/>
          <w14:textFill>
            <w14:solidFill>
              <w14:schemeClr w14:val="tx1"/>
            </w14:solidFill>
          </w14:textFill>
        </w:rPr>
        <w:t>包头市生活垃圾处理中心及东河生活垃圾填埋场原服务范围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即青山区钢铁大街以北、东河区、石拐区、部分九原区。</w:t>
      </w:r>
    </w:p>
    <w:p w14:paraId="5F9971A9">
      <w:pPr>
        <w:pStyle w:val="6"/>
        <w:spacing w:before="156" w:after="156"/>
        <w:outlineLvl w:val="2"/>
        <w:rPr>
          <w:color w:val="000000" w:themeColor="text1"/>
          <w14:textFill>
            <w14:solidFill>
              <w14:schemeClr w14:val="tx1"/>
            </w14:solidFill>
          </w14:textFill>
        </w:rPr>
      </w:pPr>
      <w:bookmarkStart w:id="117" w:name="_Toc17387"/>
      <w:bookmarkStart w:id="118" w:name="_Toc3081"/>
      <w:r>
        <w:rPr>
          <w:color w:val="000000" w:themeColor="text1"/>
          <w14:textFill>
            <w14:solidFill>
              <w14:schemeClr w14:val="tx1"/>
            </w14:solidFill>
          </w14:textFill>
        </w:rPr>
        <w:t>政府投资支持</w:t>
      </w:r>
      <w:r>
        <w:rPr>
          <w:rFonts w:hint="eastAsia"/>
          <w:color w:val="000000" w:themeColor="text1"/>
          <w14:textFill>
            <w14:solidFill>
              <w14:schemeClr w14:val="tx1"/>
            </w14:solidFill>
          </w14:textFill>
        </w:rPr>
        <w:t>情况</w:t>
      </w:r>
      <w:bookmarkEnd w:id="117"/>
      <w:bookmarkEnd w:id="118"/>
    </w:p>
    <w:p w14:paraId="5A13FE29">
      <w:pPr>
        <w:ind w:firstLine="560" w:firstLineChars="200"/>
        <w:rPr>
          <w:rFonts w:hint="default" w:ascii="仿宋" w:hAnsi="仿宋" w:cs="仿宋"/>
          <w:color w:val="000000" w:themeColor="text1"/>
          <w:lang w:val="en-US"/>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政府方出资代表的资本金由政府进行出资，除此之外，政府方不承诺任何形式的投资支持，若有其他上级专项资金按照相关资金的使用管理办法投入项目。</w:t>
      </w:r>
    </w:p>
    <w:p w14:paraId="4C0A4FD3">
      <w:pPr>
        <w:pStyle w:val="5"/>
        <w:outlineLvl w:val="1"/>
        <w:rPr>
          <w:color w:val="000000" w:themeColor="text1"/>
          <w14:textFill>
            <w14:solidFill>
              <w14:schemeClr w14:val="tx1"/>
            </w14:solidFill>
          </w14:textFill>
        </w:rPr>
      </w:pPr>
      <w:bookmarkStart w:id="119" w:name="_Toc22019"/>
      <w:bookmarkStart w:id="120" w:name="_Toc7026"/>
      <w:r>
        <w:rPr>
          <w:rFonts w:hint="eastAsia"/>
          <w:color w:val="000000" w:themeColor="text1"/>
          <w14:textFill>
            <w14:solidFill>
              <w14:schemeClr w14:val="tx1"/>
            </w14:solidFill>
          </w14:textFill>
        </w:rPr>
        <w:t>政府承诺和保障</w:t>
      </w:r>
      <w:bookmarkEnd w:id="119"/>
      <w:bookmarkEnd w:id="120"/>
    </w:p>
    <w:p w14:paraId="42A51ED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本项目的成功实施离不开政府方的各项保障措施，包括但不限于以下内容：</w:t>
      </w:r>
    </w:p>
    <w:p w14:paraId="539C884D">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负责确定项目建设内容、规模、目标等内容，负责协调项目公司开展前期工作，包括</w:t>
      </w:r>
      <w:r>
        <w:rPr>
          <w:rFonts w:ascii="仿宋" w:hAnsi="仿宋" w:cs="仿宋"/>
          <w:color w:val="000000" w:themeColor="text1"/>
          <w:spacing w:val="-1"/>
          <w:szCs w:val="28"/>
          <w14:textFill>
            <w14:solidFill>
              <w14:schemeClr w14:val="tx1"/>
            </w14:solidFill>
          </w14:textFill>
        </w:rPr>
        <w:t>实施机构授权、方案编制与报批等。</w:t>
      </w:r>
    </w:p>
    <w:p w14:paraId="3725D148">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负责协调项目公司与当地政府的关系，协助项目公司开展后续工作。</w:t>
      </w:r>
    </w:p>
    <w:p w14:paraId="40DA92CB">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协助项目公司进行项目未完成的审批和取得融资及建设所必需且合理的证明文件等工作，</w:t>
      </w:r>
      <w:r>
        <w:rPr>
          <w:rFonts w:hint="eastAsia" w:ascii="仿宋" w:hAnsi="仿宋" w:cs="仿宋"/>
          <w:color w:val="000000" w:themeColor="text1"/>
          <w:spacing w:val="-1"/>
          <w:szCs w:val="28"/>
          <w14:textFill>
            <w14:solidFill>
              <w14:schemeClr w14:val="tx1"/>
            </w14:solidFill>
          </w14:textFill>
        </w:rPr>
        <w:t>包括财政、发改、住建、国土、规划、税收、环境保护等管理和审批事项，为项目公司提供相应的支持和保障。</w:t>
      </w:r>
    </w:p>
    <w:p w14:paraId="1C3E5535">
      <w:pPr>
        <w:numPr>
          <w:ilvl w:val="0"/>
          <w:numId w:val="13"/>
        </w:numPr>
        <w:ind w:left="0" w:firstLine="560" w:firstLineChars="200"/>
        <w:rPr>
          <w:rFonts w:hint="eastAsia"/>
          <w:color w:val="000000" w:themeColor="text1"/>
          <w14:textFill>
            <w14:solidFill>
              <w14:schemeClr w14:val="tx1"/>
            </w14:solidFill>
          </w14:textFill>
        </w:rPr>
      </w:pPr>
      <w:bookmarkStart w:id="121" w:name="_Toc13825"/>
      <w:bookmarkStart w:id="122" w:name="_Toc21029"/>
      <w:bookmarkStart w:id="123" w:name="_Toc78"/>
      <w:bookmarkStart w:id="124" w:name="_Toc22041"/>
      <w:bookmarkStart w:id="125" w:name="_Toc6281"/>
      <w:bookmarkStart w:id="126" w:name="_Toc23840"/>
      <w:r>
        <w:rPr>
          <w:rFonts w:hint="eastAsia"/>
          <w:color w:val="000000" w:themeColor="text1"/>
          <w14:textFill>
            <w14:solidFill>
              <w14:schemeClr w14:val="tx1"/>
            </w14:solidFill>
          </w14:textFill>
        </w:rPr>
        <w:t>授予项目公司本项目投资、设计、建设、运营和养护的权利。</w:t>
      </w:r>
      <w:bookmarkEnd w:id="121"/>
      <w:bookmarkEnd w:id="122"/>
      <w:bookmarkEnd w:id="123"/>
      <w:bookmarkEnd w:id="124"/>
      <w:bookmarkEnd w:id="125"/>
      <w:bookmarkEnd w:id="126"/>
    </w:p>
    <w:p w14:paraId="1E579578">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授予项目公司特许经营管理权利，</w:t>
      </w:r>
      <w:r>
        <w:rPr>
          <w:rFonts w:hint="eastAsia"/>
          <w:color w:val="000000" w:themeColor="text1"/>
          <w:lang w:val="en-US" w:eastAsia="zh-CN"/>
          <w14:textFill>
            <w14:solidFill>
              <w14:schemeClr w14:val="tx1"/>
            </w14:solidFill>
          </w14:textFill>
        </w:rPr>
        <w:t>保证项目公司享有特许经营服务范围及特许经营期内独占、唯一的垃圾处理服务的权力，保证项目公司</w:t>
      </w:r>
      <w:r>
        <w:rPr>
          <w:rFonts w:hint="eastAsia"/>
          <w:color w:val="000000" w:themeColor="text1"/>
          <w14:textFill>
            <w14:solidFill>
              <w14:schemeClr w14:val="tx1"/>
            </w14:solidFill>
          </w14:textFill>
        </w:rPr>
        <w:t>依法享有</w:t>
      </w:r>
      <w:r>
        <w:rPr>
          <w:rFonts w:hint="eastAsia"/>
          <w:color w:val="000000" w:themeColor="text1"/>
          <w:lang w:val="en-US" w:eastAsia="zh-CN"/>
          <w14:textFill>
            <w14:solidFill>
              <w14:schemeClr w14:val="tx1"/>
            </w14:solidFill>
          </w14:textFill>
        </w:rPr>
        <w:t>获得</w:t>
      </w:r>
      <w:r>
        <w:rPr>
          <w:rFonts w:hint="eastAsia"/>
          <w:color w:val="000000" w:themeColor="text1"/>
          <w14:textFill>
            <w14:solidFill>
              <w14:schemeClr w14:val="tx1"/>
            </w14:solidFill>
          </w14:textFill>
        </w:rPr>
        <w:t>垃圾处理服务费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发电收费</w:t>
      </w:r>
      <w:r>
        <w:rPr>
          <w:rFonts w:hint="eastAsia"/>
          <w:color w:val="000000" w:themeColor="text1"/>
          <w:lang w:val="en-US" w:eastAsia="zh-CN"/>
          <w14:textFill>
            <w14:solidFill>
              <w14:schemeClr w14:val="tx1"/>
            </w14:solidFill>
          </w14:textFill>
        </w:rPr>
        <w:t>及其他副产品收入的</w:t>
      </w:r>
      <w:r>
        <w:rPr>
          <w:rFonts w:hint="eastAsia"/>
          <w:color w:val="000000" w:themeColor="text1"/>
          <w14:textFill>
            <w14:solidFill>
              <w14:schemeClr w14:val="tx1"/>
            </w14:solidFill>
          </w14:textFill>
        </w:rPr>
        <w:t>权</w:t>
      </w:r>
      <w:r>
        <w:rPr>
          <w:rFonts w:hint="eastAsia"/>
          <w:color w:val="000000" w:themeColor="text1"/>
          <w:lang w:val="en-US" w:eastAsia="zh-CN"/>
          <w14:textFill>
            <w14:solidFill>
              <w14:schemeClr w14:val="tx1"/>
            </w14:solidFill>
          </w14:textFill>
        </w:rPr>
        <w:t>力</w:t>
      </w:r>
      <w:r>
        <w:rPr>
          <w:rFonts w:hint="eastAsia"/>
          <w:color w:val="000000" w:themeColor="text1"/>
          <w14:textFill>
            <w14:solidFill>
              <w14:schemeClr w14:val="tx1"/>
            </w14:solidFill>
          </w14:textFill>
        </w:rPr>
        <w:t>。</w:t>
      </w:r>
    </w:p>
    <w:p w14:paraId="210DCD73">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确保</w:t>
      </w:r>
      <w:r>
        <w:rPr>
          <w:rFonts w:hint="eastAsia" w:ascii="Times New Roman" w:hAnsi="Times New Roman" w:eastAsia="方正仿宋_GBK" w:cs="Times New Roman"/>
          <w:kern w:val="2"/>
          <w:sz w:val="28"/>
          <w:szCs w:val="28"/>
          <w:lang w:val="en-US" w:eastAsia="zh-CN" w:bidi="ar"/>
        </w:rPr>
        <w:t>从事本项目特许经营活动的相关权利</w:t>
      </w:r>
      <w:r>
        <w:rPr>
          <w:rFonts w:hint="eastAsia"/>
          <w:color w:val="000000" w:themeColor="text1"/>
          <w14:textFill>
            <w14:solidFill>
              <w14:schemeClr w14:val="tx1"/>
            </w14:solidFill>
          </w14:textFill>
        </w:rPr>
        <w:t>的任何部分在特许经营期间将不再被授予其他方。</w:t>
      </w:r>
    </w:p>
    <w:p w14:paraId="298F78BD">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政府方对项目公司融资行为提供必要且合理的支持与协助，但不出具任何承诺或担保文件。</w:t>
      </w:r>
    </w:p>
    <w:p w14:paraId="0017BAD6">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承诺项目公司依照规定享有国家、地方政策给予本项目建设运营的优惠政策，但如因项目公司自身原因或国家、地方政策变化等因素导致项目公司无法享受相关优惠政策的，政府和项目公司双方进行友好协商解决。</w:t>
      </w:r>
    </w:p>
    <w:p w14:paraId="7E94F97A">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用地是政府以出让方式向项目公司提供项目的土地使用权，并协助项目公司办理相关手续。征地拆迁工作由属地政府或其指定的机构负责组织实施，包括维护社会稳定、妥善处理后续遗留问题等。征地拆迁的有关费用（包括建设用地的土地补偿费、安置补助费、地上附着物和青苗的补偿费、按设计要求迁移通信、广播电视、供水、供电等管线管缆和其他物品的费用、各项税费等）</w:t>
      </w:r>
      <w:r>
        <w:rPr>
          <w:rFonts w:hint="eastAsia"/>
          <w:color w:val="000000" w:themeColor="text1"/>
          <w:lang w:val="en-US" w:eastAsia="zh-CN"/>
          <w14:textFill>
            <w14:solidFill>
              <w14:schemeClr w14:val="tx1"/>
            </w14:solidFill>
          </w14:textFill>
        </w:rPr>
        <w:t>以本项目投资估算中的土地费用金额为上限</w:t>
      </w:r>
      <w:r>
        <w:rPr>
          <w:rFonts w:hint="eastAsia"/>
          <w:color w:val="000000" w:themeColor="text1"/>
          <w14:textFill>
            <w14:solidFill>
              <w14:schemeClr w14:val="tx1"/>
            </w14:solidFill>
          </w14:textFill>
        </w:rPr>
        <w:t>计入项目总投资。未经政府批准，项目公司不得变更项目建设用地的土地用途，也不得将该土地转让、出租和抵押。</w:t>
      </w:r>
    </w:p>
    <w:p w14:paraId="3433B595">
      <w:pPr>
        <w:numPr>
          <w:ilvl w:val="0"/>
          <w:numId w:val="13"/>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此外，履行法律法规、规章规定及相关合同约定的其他义务。</w:t>
      </w:r>
    </w:p>
    <w:p w14:paraId="3EC9DD23">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6135508B">
      <w:pPr>
        <w:pStyle w:val="3"/>
        <w:numPr>
          <w:ilvl w:val="0"/>
          <w:numId w:val="0"/>
        </w:numPr>
        <w:rPr>
          <w:color w:val="000000" w:themeColor="text1"/>
          <w14:textFill>
            <w14:solidFill>
              <w14:schemeClr w14:val="tx1"/>
            </w14:solidFill>
          </w14:textFill>
        </w:rPr>
      </w:pPr>
      <w:bookmarkStart w:id="127" w:name="_Toc10485"/>
      <w:bookmarkStart w:id="128" w:name="_Toc5559"/>
      <w:r>
        <w:rPr>
          <w:rFonts w:hint="eastAsia"/>
          <w:color w:val="000000" w:themeColor="text1"/>
          <w14:textFill>
            <w14:solidFill>
              <w14:schemeClr w14:val="tx1"/>
            </w14:solidFill>
          </w14:textFill>
        </w:rPr>
        <w:t>第二部分项目可行性分析</w:t>
      </w:r>
      <w:bookmarkEnd w:id="127"/>
      <w:bookmarkEnd w:id="128"/>
    </w:p>
    <w:p w14:paraId="555FD39D">
      <w:pPr>
        <w:pStyle w:val="5"/>
        <w:numPr>
          <w:ilvl w:val="2"/>
          <w:numId w:val="14"/>
        </w:numPr>
        <w:outlineLvl w:val="1"/>
        <w:rPr>
          <w:color w:val="000000" w:themeColor="text1"/>
          <w14:textFill>
            <w14:solidFill>
              <w14:schemeClr w14:val="tx1"/>
            </w14:solidFill>
          </w14:textFill>
        </w:rPr>
      </w:pPr>
      <w:bookmarkStart w:id="129" w:name="_Toc5133"/>
      <w:bookmarkStart w:id="130" w:name="_Toc28993"/>
      <w:r>
        <w:rPr>
          <w:rFonts w:hint="eastAsia"/>
          <w:color w:val="000000" w:themeColor="text1"/>
          <w14:textFill>
            <w14:solidFill>
              <w14:schemeClr w14:val="tx1"/>
            </w14:solidFill>
          </w14:textFill>
        </w:rPr>
        <w:t>建设必要性</w:t>
      </w:r>
      <w:bookmarkEnd w:id="129"/>
      <w:bookmarkEnd w:id="130"/>
    </w:p>
    <w:p w14:paraId="5846162F">
      <w:pPr>
        <w:pStyle w:val="6"/>
        <w:numPr>
          <w:ilvl w:val="3"/>
          <w:numId w:val="14"/>
        </w:numPr>
        <w:spacing w:before="156" w:after="156"/>
        <w:outlineLvl w:val="2"/>
        <w:rPr>
          <w:color w:val="000000" w:themeColor="text1"/>
          <w14:textFill>
            <w14:solidFill>
              <w14:schemeClr w14:val="tx1"/>
            </w14:solidFill>
          </w14:textFill>
        </w:rPr>
      </w:pPr>
      <w:bookmarkStart w:id="131" w:name="_Toc17029"/>
      <w:bookmarkStart w:id="132" w:name="_Toc26393"/>
      <w:r>
        <w:rPr>
          <w:rFonts w:hint="eastAsia"/>
          <w:color w:val="000000" w:themeColor="text1"/>
          <w14:textFill>
            <w14:solidFill>
              <w14:schemeClr w14:val="tx1"/>
            </w14:solidFill>
          </w14:textFill>
        </w:rPr>
        <w:t>项目背景</w:t>
      </w:r>
      <w:bookmarkEnd w:id="131"/>
      <w:bookmarkEnd w:id="132"/>
    </w:p>
    <w:p w14:paraId="13CDF55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是内蒙古自治区下辖地级市、拥有地方立法权的较大的市，是内蒙古自治区的经济中心之一，是中国境内以冶金、稀土、机械工业为主的综合性工业城市，呼包银经济带、呼包鄂城市群的中心城市。是中国重要的基础工业基地和全球轻稀土产业中心，被誉称“草原钢城”、“稀土之都”。</w:t>
      </w:r>
    </w:p>
    <w:p w14:paraId="5F4A1CD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包头市拥有三座生活垃圾无害化处置项目，其中两座为生活垃圾填埋场（昆都仑区卜尔汉图镇包头市生活垃圾处理中心地块填埋场和东河生活垃圾填埋场），一座为生活垃圾焚烧发电厂。其中昆都仑区卜尔汉图镇包头市生活垃圾处理中心地块填埋场位于110国道683公里东宝煤厂北2.3公里处，设计日处理生活垃圾800吨，目前实际垃圾进场量约500t/d</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工程总投资1.9亿元</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工程占地面积为531亩，设计总库容为730万立方米，建设标准为Ⅱ级，2010年6月启用，使用年限为20年。目前已使填库容274万立方米，剩余库容456万立方米。</w:t>
      </w:r>
    </w:p>
    <w:p w14:paraId="394239B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东河生活垃圾填埋场，位于包头市110国道653公里界碑以北1.5公里的天然沟谷内，设计日处理生活垃圾能力600吨，目前实际垃圾进场量400t/d，总库容520万立方米，建设规模为Ⅱ类，2014年8月14日投入使用，设计使用年限20年。总投资1.4亿元，处理工艺为卫生填埋，按照国家Ⅱ级标准建设。目前已使填库容106万立方米，剩余库容414万立方米。</w:t>
      </w:r>
    </w:p>
    <w:p w14:paraId="3CAC8C0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目前包头市两座生活垃圾填埋场原来服务范围处理方式均是卫生填埋，卫生填埋存在填埋场库容日益紧张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占用大量土地资源</w:t>
      </w:r>
      <w:r>
        <w:rPr>
          <w:rFonts w:hint="eastAsia"/>
          <w:color w:val="000000" w:themeColor="text1"/>
          <w:lang w:val="en-US" w:eastAsia="zh-CN"/>
          <w14:textFill>
            <w14:solidFill>
              <w14:schemeClr w14:val="tx1"/>
            </w14:solidFill>
          </w14:textFill>
        </w:rPr>
        <w:t>等</w:t>
      </w:r>
      <w:r>
        <w:rPr>
          <w:rFonts w:hint="eastAsia"/>
          <w:color w:val="000000" w:themeColor="text1"/>
          <w14:textFill>
            <w14:solidFill>
              <w14:schemeClr w14:val="tx1"/>
            </w14:solidFill>
          </w14:textFill>
        </w:rPr>
        <w:t>不容忽视的问题，当库容填满后，就会需要更多的土地资源来建设新的填埋场。垃圾进行填埋，虽然可以取得较好的无害化效果，但资源化效益较差。近年来由于城市化进程的不断推进以及人口的增加，垃圾产生量越来越大，填埋规模将逐渐接近设计能力，现有的垃圾处理设施已经无法满足城市未来发展规划，且生活垃圾填埋处理方式已经开始逐渐被国家所淘汰，建设新的节能环保的垃圾处理设施成为当务之急。合理地建设垃圾处理工程是国民经济建设发展的前提，是保障人民日常生活的基础，因此研究建设适应包头市发展需要的垃圾处理项目是必须的。</w:t>
      </w:r>
    </w:p>
    <w:p w14:paraId="4285AA8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作为当今最有效垃圾处理手段，已在中国多个大、中城市得到应用，是现阶段垃圾处理的发展方向，也符合国家关于生活垃圾处理及污染防治技术政策。此类项目占地少、处理周期短，可保障生活垃圾无害化、减量化和资源化的处理，减轻城市因生活垃圾带来的大气、土壤、地下水等方面的环境污染，改善城市面貌。</w:t>
      </w:r>
    </w:p>
    <w:p w14:paraId="1CEB2AA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新的生活垃圾焚烧设施，对完善包头市垃圾处理系统、提升环境卫生状况、改善周边的人们生活和生产都将产生积极影响，有利于实现包头市可持续发展。同时将对区域内的开发建设将提供必要的基础设施保证，有利于包头市城市总体规划的贯彻落实，从而带动经济发展，加快现代化建设，有助于促进包头市小康社会的全面建成。</w:t>
      </w:r>
    </w:p>
    <w:p w14:paraId="04CEF71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综上所述，为了尽快加大处理垃圾的能力，提高处理垃圾的技术水平，逐步实现垃圾无害化、减量化、资源化处理的目标，建设新的垃圾焚烧设施是必要的、急需的。</w:t>
      </w:r>
    </w:p>
    <w:p w14:paraId="12EA2BB0">
      <w:pPr>
        <w:pStyle w:val="6"/>
        <w:numPr>
          <w:ilvl w:val="3"/>
          <w:numId w:val="14"/>
        </w:numPr>
        <w:spacing w:before="156" w:after="156"/>
        <w:outlineLvl w:val="2"/>
        <w:rPr>
          <w:color w:val="000000" w:themeColor="text1"/>
          <w14:textFill>
            <w14:solidFill>
              <w14:schemeClr w14:val="tx1"/>
            </w14:solidFill>
          </w14:textFill>
        </w:rPr>
      </w:pPr>
      <w:bookmarkStart w:id="133" w:name="_Toc17102"/>
      <w:bookmarkStart w:id="134" w:name="_Toc10210"/>
      <w:r>
        <w:rPr>
          <w:rFonts w:hint="eastAsia"/>
          <w:color w:val="000000" w:themeColor="text1"/>
          <w14:textFill>
            <w14:solidFill>
              <w14:schemeClr w14:val="tx1"/>
            </w14:solidFill>
          </w14:textFill>
        </w:rPr>
        <w:t>项目建设的必要性</w:t>
      </w:r>
      <w:bookmarkEnd w:id="133"/>
      <w:bookmarkEnd w:id="134"/>
    </w:p>
    <w:p w14:paraId="3C9ABBDB">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《“十四五”城镇生活垃圾分类和处理设施发展规划》的要求</w:t>
      </w:r>
    </w:p>
    <w:p w14:paraId="17258DE3">
      <w:pPr>
        <w:ind w:firstLine="560" w:firstLineChars="200"/>
        <w:rPr>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《“十四五”城镇生活垃圾分类和处理设施发展规划》发改办环资</w:t>
      </w:r>
      <w:r>
        <w:rPr>
          <w:rFonts w:hint="eastAsia"/>
          <w:color w:val="000000" w:themeColor="text1"/>
          <w14:textFill>
            <w14:solidFill>
              <w14:schemeClr w14:val="tx1"/>
            </w14:solidFill>
          </w14:textFill>
        </w:rPr>
        <w:t>〔2021〕</w:t>
      </w:r>
      <w:r>
        <w:rPr>
          <w:rFonts w:cs="Times New Roman"/>
          <w:color w:val="000000" w:themeColor="text1"/>
          <w14:textFill>
            <w14:solidFill>
              <w14:schemeClr w14:val="tx1"/>
            </w14:solidFill>
          </w14:textFill>
        </w:rPr>
        <w:t>642</w:t>
      </w:r>
      <w:r>
        <w:rPr>
          <w:rFonts w:hint="eastAsia" w:ascii="仿宋" w:hAnsi="仿宋" w:cs="仿宋"/>
          <w:color w:val="000000" w:themeColor="text1"/>
          <w14:textFill>
            <w14:solidFill>
              <w14:schemeClr w14:val="tx1"/>
            </w14:solidFill>
          </w14:textFill>
        </w:rPr>
        <w:t>号提出“十四五”期间：</w:t>
      </w:r>
      <w:r>
        <w:rPr>
          <w:color w:val="000000" w:themeColor="text1"/>
          <w14:textFill>
            <w14:solidFill>
              <w14:schemeClr w14:val="tx1"/>
            </w14:solidFill>
          </w14:textFill>
        </w:rPr>
        <w:t>全国城镇生活垃圾焚烧处理能力达到80万t/d左右，城市生活垃圾焚烧处理能力占比65%左右。</w:t>
      </w:r>
    </w:p>
    <w:p w14:paraId="16C10254">
      <w:pPr>
        <w:numPr>
          <w:ilvl w:val="0"/>
          <w:numId w:val="1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加强垃圾焚烧设施规划布局。加强与国土空间规划和生态环境保护、环境卫生设施、集中供热供暖等专项规划的衔接，统筹规划生活垃圾焚烧处理设施，依法依规做好生活垃圾焚烧项目选址工作，鼓励利用既有生活垃圾处理设施用地建设生活垃圾焚烧项目。</w:t>
      </w:r>
    </w:p>
    <w:p w14:paraId="05830139">
      <w:pPr>
        <w:numPr>
          <w:ilvl w:val="0"/>
          <w:numId w:val="1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持续推进焚烧处理能力建设。生活垃圾日清运量达到建设规模化垃圾焚烧处理设施条件的地区，可适度超前建设与生活垃圾清运量增长相适应的焚烧处理设施。不具备建设规模化垃圾焚烧处理设施条件的地区，可通过跨区域共建共享方式建设焚烧处理设施。城市建成区生活垃圾日清运量超过300吨的地区，加快建设焚烧处理设施。</w:t>
      </w:r>
    </w:p>
    <w:p w14:paraId="0DD29DBC">
      <w:pPr>
        <w:numPr>
          <w:ilvl w:val="0"/>
          <w:numId w:val="1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开展既有焚烧设施提标改造。全面排查评估现有焚烧处理设施运行状况和污染物排放情况，对于不能稳定达标排放的设施，要加快推进设施升级改造。鼓励有条件的地区，按照高质量发展要求优化焚烧处理技术，完善污染物处理配套设施，逐步提高设施运行的环保水平。</w:t>
      </w:r>
    </w:p>
    <w:p w14:paraId="63F9E759">
      <w:pPr>
        <w:numPr>
          <w:ilvl w:val="0"/>
          <w:numId w:val="1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规范垃圾填埋处理设施建设：适度规划建设兜底保障填埋设施。原则上地级及以上城市和具备焚烧处理能力或建设条件的县城，不再规划和新建原生垃圾填埋设施，现有生活垃圾填埋场剩余库容转为兜底保障填埋设施备用。</w:t>
      </w:r>
    </w:p>
    <w:p w14:paraId="052D281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《包头市城镇环境卫生“十四五”规划》2021年06月的要求</w:t>
      </w:r>
    </w:p>
    <w:p w14:paraId="3066A26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全面推进生活垃圾焚烧设施建设：</w:t>
      </w:r>
    </w:p>
    <w:p w14:paraId="6C71839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加强垃圾焚烧设施规划布局。加强与国土空间规划和生态环境保护、环境卫生设施、集中供热供暖等专项规划的衔接，统筹规划生活垃圾焚烧处理设施，依法依规做好生活垃圾焚烧项目选址工作，鼓励利用既有生活垃圾处理设施用地建设生活垃圾焚烧项目。</w:t>
      </w:r>
    </w:p>
    <w:p w14:paraId="59D3065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持续推进焚烧处理能力建设。生活垃圾日清运量达到建设规模化垃圾焚烧处理设施条件的地区，可适度超前建设与生活垃圾清运量增长相适应的焚烧处理设施。不具备建设规模化垃圾焚烧处理设施条件的地区，可通过跨区域共建共享方式建设焚烧处理设施。城市建成区生活垃圾日清运量超过300吨的地区，加快建设焚烧处理设施。</w:t>
      </w:r>
    </w:p>
    <w:p w14:paraId="0FA6E517">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《城镇生活垃圾分类和处理设施补短板强弱项实施方案》的要求</w:t>
      </w:r>
    </w:p>
    <w:p w14:paraId="10AF60A6">
      <w:pPr>
        <w:ind w:firstLine="560" w:firstLineChars="200"/>
        <w:rPr>
          <w:rFonts w:hint="eastAsia" w:ascii="仿宋" w:hAnsi="仿宋" w:cs="仿宋"/>
          <w:color w:val="000000" w:themeColor="text1"/>
          <w14:textFill>
            <w14:solidFill>
              <w14:schemeClr w14:val="tx1"/>
            </w14:solidFill>
          </w14:textFill>
        </w:rPr>
      </w:pPr>
      <w:r>
        <w:rPr>
          <w:color w:val="000000" w:themeColor="text1"/>
          <w14:textFill>
            <w14:solidFill>
              <w14:schemeClr w14:val="tx1"/>
            </w14:solidFill>
          </w14:textFill>
        </w:rPr>
        <w:t>《城镇生活垃圾分类和处理设施补短板强弱项实施方案》中要求，生活垃圾日清运量超过300吨的地区，要加快发展以焚烧为主的垃圾处理方式，适度超前建设与生活垃圾清运量相适应的焚烧处理设施，到2023年基本实现原生生活垃圾</w:t>
      </w:r>
      <w:r>
        <w:rPr>
          <w:rFonts w:hint="eastAsia" w:ascii="仿宋" w:hAnsi="仿宋" w:cs="仿宋"/>
          <w:color w:val="000000" w:themeColor="text1"/>
          <w14:textFill>
            <w14:solidFill>
              <w14:schemeClr w14:val="tx1"/>
            </w14:solidFill>
          </w14:textFill>
        </w:rPr>
        <w:t>“零填埋”。</w:t>
      </w:r>
      <w:r>
        <w:rPr>
          <w:color w:val="000000" w:themeColor="text1"/>
          <w14:textFill>
            <w14:solidFill>
              <w14:schemeClr w14:val="tx1"/>
            </w14:solidFill>
          </w14:textFill>
        </w:rPr>
        <w:t>鼓励跨区域统筹建设焚烧处理设施。在生活垃圾日清运量不足300吨的地区探索开展小型生活垃圾焚烧设施试点。垃圾焚烧发电设施要严格落实</w:t>
      </w:r>
      <w:r>
        <w:rPr>
          <w:rFonts w:hint="eastAsia" w:ascii="仿宋" w:hAnsi="仿宋" w:cs="仿宋"/>
          <w:color w:val="000000" w:themeColor="text1"/>
          <w14:textFill>
            <w14:solidFill>
              <w14:schemeClr w14:val="tx1"/>
            </w14:solidFill>
          </w14:textFill>
        </w:rPr>
        <w:t>环境监管“装、树、联”要求，逐步提高设施设计和建设标准，推动建设“邻利”型生活垃圾焚烧设施。</w:t>
      </w:r>
    </w:p>
    <w:p w14:paraId="331B8A1C">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《关于做好2018年资源节约和环境保护中央预算内投资项目计划草案编报的补充通知》</w:t>
      </w:r>
    </w:p>
    <w:p w14:paraId="61E9A9A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支持城镇垃圾无害化处理设施建设项目。重点支持垃圾焚烧处理项目，除新疆、西藏、四省藏区外，原则上不再支持垃圾填埋处理设施建设项目。</w:t>
      </w:r>
    </w:p>
    <w:p w14:paraId="428E2AC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包头市填埋场最终也会填满封场。如果到时候规划建设焚烧厂，也会陷入焚烧后的飞灰无处填埋的困境。</w:t>
      </w:r>
    </w:p>
    <w:p w14:paraId="630C6052">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本工程的建设满足垃圾处理可持续发展的要求。</w:t>
      </w:r>
    </w:p>
    <w:p w14:paraId="6CD81AE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具有两重性：即资源性和污染性。治理得好，可以循环利用，减少对原生资源的消耗；处理不当就会污染空气、水体和土壤。为了贯彻以人为本的科学发展观、落实可持续发展战略、构建和谐社会，在垃圾治理中实行循环经济具有重要性和紧迫性。包头市作为内蒙古自治区能源产业重要城市，建设该垃圾综合处理项目，对垃</w:t>
      </w:r>
      <w:r>
        <w:rPr>
          <w:rFonts w:hint="eastAsia" w:ascii="仿宋" w:hAnsi="仿宋" w:cs="仿宋"/>
          <w:color w:val="000000" w:themeColor="text1"/>
          <w14:textFill>
            <w14:solidFill>
              <w14:schemeClr w14:val="tx1"/>
            </w14:solidFill>
          </w14:textFill>
        </w:rPr>
        <w:t>圾进行“无害化、减量化、资源化”处</w:t>
      </w:r>
      <w:r>
        <w:rPr>
          <w:color w:val="000000" w:themeColor="text1"/>
          <w14:textFill>
            <w14:solidFill>
              <w14:schemeClr w14:val="tx1"/>
            </w14:solidFill>
          </w14:textFill>
        </w:rPr>
        <w:t>理，对树立包头市的外部形象，推进包头城市扩容建设，增强包头市在区域经济中的吸引力具有重要的作用。建设综合处理生态园区项目，通过资源化途径，实现垃圾无害化处理，从而构建一个环境友好的综合性处理基地，长久地提供生活垃圾处理服务，这样可以解决包头市生活垃圾处理填埋的问题。</w:t>
      </w:r>
    </w:p>
    <w:p w14:paraId="398E00F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填埋场不仅是稀缺的土地资源，更是稀缺的社会资源，不仅可以作为社会突发性事件的紧急处理手段，比如猪瘟时病死动物的紧急填埋，更可以作为生活垃圾焚烧减量化后的飞灰填埋场地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目前包头市的垃圾处理方式已不能满足城市未来发展的需要及包头政府对该市生活垃圾处理提出的要求。</w:t>
      </w:r>
    </w:p>
    <w:p w14:paraId="17C6E75C">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促进垃圾资源化，符合循环经济和节能减排的要求</w:t>
      </w:r>
    </w:p>
    <w:p w14:paraId="44A664A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垃圾是放错了地方的资源，并且是一种可贵的战略资源。据报道我国目前城市年产垃圾量约</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亿</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千万</w:t>
      </w:r>
      <w:r>
        <w:rPr>
          <w:rFonts w:hint="eastAsia"/>
          <w:color w:val="000000" w:themeColor="text1"/>
          <w14:textFill>
            <w14:solidFill>
              <w14:schemeClr w14:val="tx1"/>
            </w14:solidFill>
          </w14:textFill>
        </w:rPr>
        <w:t>吨，</w:t>
      </w:r>
      <w:r>
        <w:rPr>
          <w:color w:val="000000" w:themeColor="text1"/>
          <w14:textFill>
            <w14:solidFill>
              <w14:schemeClr w14:val="tx1"/>
            </w14:solidFill>
          </w14:textFill>
        </w:rPr>
        <w:t>并以7%～9%年递增速度增加。垃圾进行填埋，虽然可以取得较好的无害化效果，但资源化效益较差。随着垃圾焚烧技术日趋完善，垃圾焚烧发电、垃圾填埋沼气发电让垃圾变废为宝成为可能。垃圾焚烧技术前景广阔，现已被国内外多个城市所采用。</w:t>
      </w:r>
      <w:r>
        <w:rPr>
          <w:rFonts w:hint="eastAsia" w:ascii="仿宋" w:hAnsi="仿宋" w:cs="仿宋"/>
          <w:color w:val="000000" w:themeColor="text1"/>
          <w14:textFill>
            <w14:solidFill>
              <w14:schemeClr w14:val="tx1"/>
            </w14:solidFill>
          </w14:textFill>
        </w:rPr>
        <w:t>《“十四五”城</w:t>
      </w:r>
      <w:r>
        <w:rPr>
          <w:color w:val="000000" w:themeColor="text1"/>
          <w14:textFill>
            <w14:solidFill>
              <w14:schemeClr w14:val="tx1"/>
            </w14:solidFill>
          </w14:textFill>
        </w:rPr>
        <w:t>镇生活垃圾分类和处理设施发展规划》明确持续推进焚烧处理能力建设。生活垃圾日清运量达到建设规模化垃圾焚烧处理设施条件的地区，可适度超前建设与生活垃圾清运量增长相适应的焚烧处理设施。不具备建设规模化垃圾焚烧处理设施条件的地区，可通过跨区域共建共享方式建设焚烧处理设施。城市建成区生活垃圾日清运量超过</w:t>
      </w:r>
      <w:r>
        <w:rPr>
          <w:rFonts w:hint="eastAsia"/>
          <w:color w:val="000000" w:themeColor="text1"/>
          <w14:textFill>
            <w14:solidFill>
              <w14:schemeClr w14:val="tx1"/>
            </w14:solidFill>
          </w14:textFill>
        </w:rPr>
        <w:t>300</w:t>
      </w:r>
      <w:r>
        <w:rPr>
          <w:color w:val="000000" w:themeColor="text1"/>
          <w14:textFill>
            <w14:solidFill>
              <w14:schemeClr w14:val="tx1"/>
            </w14:solidFill>
          </w14:textFill>
        </w:rPr>
        <w:t>吨的地区，加快建设焚烧处理设施。</w:t>
      </w:r>
    </w:p>
    <w:p w14:paraId="3E7119C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焚烧发电是通过垃圾干燥、燃烧和燃烬三个阶段，让垃圾在850℃至1100℃的高温下充分燃烧。焚烧中可通过DCS自动控制系统和自动燃烧控制系统即时监控和调整炉内垃圾的燃烧工况，及时调节炉排运行速度和燃烧空气量。焚烧垃圾产生的高温烟气在余热锅炉中进行热交换，产生过热蒸汽，推动汽轮发电机组产生电能。电能通过电网，输送到各地，实现了垃圾资源化处理。</w:t>
      </w:r>
    </w:p>
    <w:p w14:paraId="13F7252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可见，采用垃圾焚烧方式处理包头市生活垃圾是适应内蒙古自治区加强城市生活垃圾处理工作的需要。</w:t>
      </w:r>
    </w:p>
    <w:p w14:paraId="0B597A6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提升城市形象，社会效益显著</w:t>
      </w:r>
    </w:p>
    <w:p w14:paraId="02B87E9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如今城市生活垃圾处理水平已经成为反映一个城市文明程度、经济实力、科技实力以及城市管理者的环境意识和现代意识的标志。生活垃圾管理与污染防治已成为城市环境保护的重要内容之一。</w:t>
      </w:r>
    </w:p>
    <w:p w14:paraId="7ADDCFF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生活处理处置是一项系统工程，它涉及收集、运输、处理处置和管理等一系列的程序，主要的问题是统一收集覆盖面不够完全，在垃圾收运过程中容易造成二次污染。包头市生活垃圾焚烧发电项目的建设，可以逐步完善和改进生活垃圾的收运方式和设施，使服务区域生活垃圾的收运系统逐步走向正轨，减少垃圾收运过程中造成的环境污染。</w:t>
      </w:r>
    </w:p>
    <w:p w14:paraId="2A7FC71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本项目的建设是包头市社会经济可持续发展的重要基础设施之一，具有显著的社会效益。环境卫生工作是城市发展水平的重要标志，是城市形象的直观反映，直接影响社会发展和人民群众的生活质量。</w:t>
      </w:r>
    </w:p>
    <w:p w14:paraId="0304B8A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建设及运营，能有效地解决城市垃圾污染及资源回收问题，为包头市营造一个整洁的城市市容环境，使城市面貌、生态环境得到了较大的改善。改善了投资环境和生活环境，进一步吸引境内外投资者，对实现经济的可持续发展具有重大的现实意义。因此本项目建设是十分紧迫和必要的。</w:t>
      </w:r>
    </w:p>
    <w:p w14:paraId="672CEAEF">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优化能源和电力结构</w:t>
      </w:r>
    </w:p>
    <w:p w14:paraId="413DADD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建设本项目有利于改变传统的能源结构，提高电网中可再生能源发电的装机比例，优化电源结构，为经济与社会的可持续发展提供保证。</w:t>
      </w:r>
    </w:p>
    <w:p w14:paraId="7643DC5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的建设符合国家相关法规，符合国家能源政策，凭借目前成熟的生活垃圾焚烧发电技术，垃圾焚烧处理及综合利用是实现垃圾无害化、减量化和资源化最为有效的手段，且具有良好的环境效益和社会效益。因此本项目的建设是十分必要的。</w:t>
      </w:r>
    </w:p>
    <w:p w14:paraId="2469B6E6">
      <w:pPr>
        <w:pStyle w:val="6"/>
        <w:spacing w:before="156" w:after="156"/>
        <w:outlineLvl w:val="2"/>
        <w:rPr>
          <w:color w:val="000000" w:themeColor="text1"/>
          <w14:textFill>
            <w14:solidFill>
              <w14:schemeClr w14:val="tx1"/>
            </w14:solidFill>
          </w14:textFill>
        </w:rPr>
      </w:pPr>
      <w:bookmarkStart w:id="135" w:name="_Toc15270"/>
      <w:r>
        <w:rPr>
          <w:rFonts w:hint="eastAsia"/>
          <w:color w:val="000000" w:themeColor="text1"/>
          <w14:textFill>
            <w14:solidFill>
              <w14:schemeClr w14:val="tx1"/>
            </w14:solidFill>
          </w14:textFill>
        </w:rPr>
        <w:t>拟建项目功能定位</w:t>
      </w:r>
      <w:bookmarkEnd w:id="135"/>
    </w:p>
    <w:p w14:paraId="069A6A9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建成对完善包头市垃圾处理系统，改善周边的人们生活和生产都将产生积极影响，有利于实现包头市可持续发展。对区域内的开发建设将提供必要的基础设施保证，对贯彻落实包头市城市总体规划，建立高效便捷的快速交通体系，优化投资环境，带动全市经济发展，加快现代化建设步伐，都具有特别重要的意义，并获得极大的社会、经济、环境效益。</w:t>
      </w:r>
    </w:p>
    <w:p w14:paraId="6CF84FA3">
      <w:pPr>
        <w:pStyle w:val="6"/>
        <w:spacing w:before="156" w:after="156"/>
        <w:outlineLvl w:val="2"/>
        <w:rPr>
          <w:color w:val="000000" w:themeColor="text1"/>
          <w14:textFill>
            <w14:solidFill>
              <w14:schemeClr w14:val="tx1"/>
            </w14:solidFill>
          </w14:textFill>
        </w:rPr>
      </w:pPr>
      <w:bookmarkStart w:id="136" w:name="_Toc8739"/>
      <w:r>
        <w:rPr>
          <w:rFonts w:hint="eastAsia"/>
          <w:color w:val="000000" w:themeColor="text1"/>
          <w14:textFill>
            <w14:solidFill>
              <w14:schemeClr w14:val="tx1"/>
            </w14:solidFill>
          </w14:textFill>
        </w:rPr>
        <w:t>项目近期和远期目标</w:t>
      </w:r>
      <w:bookmarkEnd w:id="136"/>
    </w:p>
    <w:p w14:paraId="7FDD509F">
      <w:pPr>
        <w:ind w:firstLine="560" w:firstLineChars="20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本项目近期目标为日处理垃圾800吨</w:t>
      </w:r>
      <w:r>
        <w:rPr>
          <w:rFonts w:hint="eastAsia"/>
          <w:color w:val="000000" w:themeColor="text1"/>
          <w:lang w:eastAsia="zh-CN"/>
          <w14:textFill>
            <w14:solidFill>
              <w14:schemeClr w14:val="tx1"/>
            </w14:solidFill>
          </w14:textFill>
        </w:rPr>
        <w:t>。</w:t>
      </w:r>
    </w:p>
    <w:p w14:paraId="0D141B2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远期目标为二期项目建设，届时将增加一条400吨/日的焚烧线，同时二期掺烧园区内餐厨、厨余、污泥、地沟油项目剩余的泥渣及沼渣280吨/日。项目建设期及运营期须按照国、省、市相关生活垃圾焚烧要求进行。</w:t>
      </w:r>
    </w:p>
    <w:p w14:paraId="0856007A">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二期为远期规划，本方案中只预留建设用地，</w:t>
      </w:r>
      <w:r>
        <w:rPr>
          <w:rFonts w:hint="eastAsia"/>
          <w:color w:val="000000" w:themeColor="text1"/>
          <w:lang w:val="en-US" w:eastAsia="zh-CN"/>
          <w14:textFill>
            <w14:solidFill>
              <w14:schemeClr w14:val="tx1"/>
            </w14:solidFill>
          </w14:textFill>
        </w:rPr>
        <w:t>投资、设备等内容本方案</w:t>
      </w:r>
      <w:r>
        <w:rPr>
          <w:rFonts w:hint="eastAsia"/>
          <w:color w:val="000000" w:themeColor="text1"/>
          <w14:textFill>
            <w14:solidFill>
              <w14:schemeClr w14:val="tx1"/>
            </w14:solidFill>
          </w14:textFill>
        </w:rPr>
        <w:t>均不作考虑</w:t>
      </w:r>
      <w:r>
        <w:rPr>
          <w:rFonts w:hint="eastAsia"/>
          <w:color w:val="000000" w:themeColor="text1"/>
          <w:lang w:eastAsia="zh-CN"/>
          <w14:textFill>
            <w14:solidFill>
              <w14:schemeClr w14:val="tx1"/>
            </w14:solidFill>
          </w14:textFill>
        </w:rPr>
        <w:t>。</w:t>
      </w:r>
    </w:p>
    <w:p w14:paraId="576343AB">
      <w:pPr>
        <w:pStyle w:val="6"/>
        <w:spacing w:before="156" w:after="156"/>
        <w:outlineLvl w:val="2"/>
        <w:rPr>
          <w:color w:val="000000" w:themeColor="text1"/>
          <w14:textFill>
            <w14:solidFill>
              <w14:schemeClr w14:val="tx1"/>
            </w14:solidFill>
          </w14:textFill>
        </w:rPr>
      </w:pPr>
      <w:bookmarkStart w:id="137" w:name="_Toc23753"/>
      <w:r>
        <w:rPr>
          <w:rFonts w:hint="eastAsia" w:ascii="楷体" w:hAnsi="楷体" w:cs="楷体"/>
          <w:color w:val="000000" w:themeColor="text1"/>
          <w14:textFill>
            <w14:solidFill>
              <w14:schemeClr w14:val="tx1"/>
            </w14:solidFill>
          </w14:textFill>
        </w:rPr>
        <w:t>产出(服务)的需求总量和结构</w:t>
      </w:r>
      <w:bookmarkEnd w:id="137"/>
    </w:p>
    <w:p w14:paraId="463F269F">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目前包头市拥有三座生活垃圾无害化处置项目，其中两座为生活垃圾填埋场，一座为</w:t>
      </w:r>
      <w:r>
        <w:rPr>
          <w:rFonts w:hint="eastAsia"/>
          <w:color w:val="000000" w:themeColor="text1"/>
          <w:lang w:val="en-US" w:eastAsia="zh-CN"/>
          <w14:textFill>
            <w14:solidFill>
              <w14:schemeClr w14:val="tx1"/>
            </w14:solidFill>
          </w14:textFill>
        </w:rPr>
        <w:t>普拉特</w:t>
      </w:r>
      <w:r>
        <w:rPr>
          <w:rFonts w:hint="eastAsia"/>
          <w:color w:val="000000" w:themeColor="text1"/>
          <w14:textFill>
            <w14:solidFill>
              <w14:schemeClr w14:val="tx1"/>
            </w14:solidFill>
          </w14:textFill>
        </w:rPr>
        <w:t>生活垃圾焚烧发电厂。</w:t>
      </w:r>
      <w:r>
        <w:rPr>
          <w:rFonts w:hint="eastAsia"/>
          <w:color w:val="000000" w:themeColor="text1"/>
          <w:lang w:val="en-US" w:eastAsia="zh-CN"/>
          <w14:textFill>
            <w14:solidFill>
              <w14:schemeClr w14:val="tx1"/>
            </w14:solidFill>
          </w14:textFill>
        </w:rPr>
        <w:t>包头市全市每日产生垃圾量约为2424吨/天，两座填埋场日处理能力约为900吨/天，普拉特发电厂日处理能力为1350吨/天。</w:t>
      </w:r>
    </w:p>
    <w:p w14:paraId="2F3117FC">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按照内蒙古自治区要求，包头市要在2027年之前实现垃圾处理“零填埋”，故</w:t>
      </w:r>
      <w:r>
        <w:rPr>
          <w:rFonts w:hint="eastAsia"/>
          <w:color w:val="000000" w:themeColor="text1"/>
          <w14:textFill>
            <w14:solidFill>
              <w14:schemeClr w14:val="tx1"/>
            </w14:solidFill>
          </w14:textFill>
        </w:rPr>
        <w:t>拟</w:t>
      </w: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建日处理</w:t>
      </w:r>
      <w:r>
        <w:rPr>
          <w:rFonts w:hint="eastAsia"/>
          <w:color w:val="000000" w:themeColor="text1"/>
          <w:lang w:val="en-US" w:eastAsia="zh-CN"/>
          <w14:textFill>
            <w14:solidFill>
              <w14:schemeClr w14:val="tx1"/>
            </w14:solidFill>
          </w14:textFill>
        </w:rPr>
        <w:t>能力</w:t>
      </w:r>
      <w:r>
        <w:rPr>
          <w:rFonts w:hint="eastAsia"/>
          <w:color w:val="000000" w:themeColor="text1"/>
          <w14:textFill>
            <w14:solidFill>
              <w14:schemeClr w14:val="tx1"/>
            </w14:solidFill>
          </w14:textFill>
        </w:rPr>
        <w:t>800吨</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垃圾焚烧发电设施</w:t>
      </w:r>
      <w:r>
        <w:rPr>
          <w:rFonts w:hint="eastAsia"/>
          <w:color w:val="000000" w:themeColor="text1"/>
          <w:lang w:val="en-US" w:eastAsia="zh-CN"/>
          <w14:textFill>
            <w14:solidFill>
              <w14:schemeClr w14:val="tx1"/>
            </w14:solidFill>
          </w14:textFill>
        </w:rPr>
        <w:t>代替现有的两座垃圾填埋场</w:t>
      </w:r>
      <w:r>
        <w:rPr>
          <w:rFonts w:hint="eastAsia"/>
          <w:color w:val="000000" w:themeColor="text1"/>
          <w14:textFill>
            <w14:solidFill>
              <w14:schemeClr w14:val="tx1"/>
            </w14:solidFill>
          </w14:textFill>
        </w:rPr>
        <w:t>。厂址周围300米范围内无居民区、学校、医院等敏感目标，距离最近的张家营子社区约2.9公里，可以保证卫生防护距离内无居民、无环境敏感点。</w:t>
      </w:r>
    </w:p>
    <w:p w14:paraId="0971DAC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建设及运营，能有效地解决城市垃圾污染及资源回收问题，为包头市营造一个整洁的城市市容环境，使城市面貌、生态环境得到较大改善。同时对改善投资环境和生活环境，进一步吸引境内外投资者，对实现经济的可持续发展具有重大的现实意义。</w:t>
      </w:r>
    </w:p>
    <w:p w14:paraId="6FE352B8">
      <w:pPr>
        <w:pStyle w:val="5"/>
        <w:numPr>
          <w:ilvl w:val="2"/>
          <w:numId w:val="14"/>
        </w:numPr>
        <w:outlineLvl w:val="1"/>
        <w:rPr>
          <w:color w:val="000000" w:themeColor="text1"/>
          <w14:textFill>
            <w14:solidFill>
              <w14:schemeClr w14:val="tx1"/>
            </w14:solidFill>
          </w14:textFill>
        </w:rPr>
      </w:pPr>
      <w:bookmarkStart w:id="138" w:name="_Toc32498"/>
      <w:bookmarkStart w:id="139" w:name="_Toc7663"/>
      <w:r>
        <w:rPr>
          <w:rFonts w:hint="eastAsia"/>
          <w:color w:val="000000" w:themeColor="text1"/>
          <w14:textFill>
            <w14:solidFill>
              <w14:schemeClr w14:val="tx1"/>
            </w14:solidFill>
          </w14:textFill>
        </w:rPr>
        <w:t>建设方案分析</w:t>
      </w:r>
      <w:bookmarkEnd w:id="138"/>
      <w:bookmarkEnd w:id="139"/>
    </w:p>
    <w:p w14:paraId="7EE946CA">
      <w:pPr>
        <w:pStyle w:val="6"/>
        <w:numPr>
          <w:ilvl w:val="3"/>
          <w:numId w:val="14"/>
        </w:numPr>
        <w:spacing w:before="156" w:after="156"/>
        <w:outlineLvl w:val="2"/>
        <w:rPr>
          <w:color w:val="000000" w:themeColor="text1"/>
          <w14:textFill>
            <w14:solidFill>
              <w14:schemeClr w14:val="tx1"/>
            </w14:solidFill>
          </w14:textFill>
        </w:rPr>
      </w:pPr>
      <w:bookmarkStart w:id="140" w:name="_Toc8198"/>
      <w:bookmarkStart w:id="141" w:name="_Toc3287"/>
      <w:r>
        <w:rPr>
          <w:rFonts w:hint="eastAsia"/>
          <w:color w:val="000000" w:themeColor="text1"/>
          <w14:textFill>
            <w14:solidFill>
              <w14:schemeClr w14:val="tx1"/>
            </w14:solidFill>
          </w14:textFill>
        </w:rPr>
        <w:t>建设条件</w:t>
      </w:r>
      <w:bookmarkEnd w:id="140"/>
      <w:bookmarkEnd w:id="141"/>
    </w:p>
    <w:p w14:paraId="564DAD97">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项目选址</w:t>
      </w:r>
    </w:p>
    <w:p w14:paraId="6B581443">
      <w:pPr>
        <w:ind w:firstLine="56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根据厂址现场勘查及比选工作，</w:t>
      </w:r>
      <w:r>
        <w:rPr>
          <w:rFonts w:hint="eastAsia"/>
          <w:color w:val="000000" w:themeColor="text1"/>
          <w14:textFill>
            <w14:solidFill>
              <w14:schemeClr w14:val="tx1"/>
            </w14:solidFill>
          </w14:textFill>
        </w:rPr>
        <w:t>本项目拟建厂址位于昆都仑区西北部，昆都仑区西北部卜尔汉图镇内，G6京藏高速包钢出口东北侧。地块北侧为现状搅拌站；南侧距G6京藏高速约0.1公里，距金属深加工园约0.4公里；西距包头西立交约0.4公里；东距昆都仑召站约3公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用地面积</w:t>
      </w:r>
      <w:r>
        <w:rPr>
          <w:rFonts w:hint="eastAsia"/>
          <w:color w:val="000000" w:themeColor="text1"/>
          <w14:textFill>
            <w14:solidFill>
              <w14:schemeClr w14:val="tx1"/>
            </w14:solidFill>
          </w14:textFill>
        </w:rPr>
        <w:t>为</w:t>
      </w:r>
      <w:r>
        <w:rPr>
          <w:rFonts w:hint="eastAsia"/>
          <w:color w:val="000000" w:themeColor="text1"/>
          <w:lang w:eastAsia="zh-CN"/>
          <w14:textFill>
            <w14:solidFill>
              <w14:schemeClr w14:val="tx1"/>
            </w14:solidFill>
          </w14:textFill>
        </w:rPr>
        <w:t>84.237亩</w:t>
      </w:r>
      <w:r>
        <w:rPr>
          <w:rFonts w:hint="eastAsia"/>
          <w:color w:val="000000" w:themeColor="text1"/>
          <w14:textFill>
            <w14:solidFill>
              <w14:schemeClr w14:val="tx1"/>
            </w14:solidFill>
          </w14:textFill>
        </w:rPr>
        <w:t>。</w:t>
      </w:r>
    </w:p>
    <w:p w14:paraId="44762EE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在国内垃圾焚烧发电厂的建设过程中，选址是制约项目建设的重点及难点，在选址过程中，既要考虑投资因素，但更应考虑焚烧厂的建设应易于被周边居民接受，不能带来社会稳定风险；同时，也更有利于焚烧厂的快速建设及稳定运行。通过综合考虑，项目</w:t>
      </w:r>
      <w:r>
        <w:rPr>
          <w:rFonts w:hint="eastAsia"/>
          <w:color w:val="000000" w:themeColor="text1"/>
          <w:lang w:val="en-US" w:eastAsia="zh-CN"/>
          <w14:textFill>
            <w14:solidFill>
              <w14:schemeClr w14:val="tx1"/>
            </w14:solidFill>
          </w14:textFill>
        </w:rPr>
        <w:t>现选址</w:t>
      </w:r>
      <w:r>
        <w:rPr>
          <w:rFonts w:hint="eastAsia"/>
          <w:color w:val="000000" w:themeColor="text1"/>
          <w14:textFill>
            <w14:solidFill>
              <w14:schemeClr w14:val="tx1"/>
            </w14:solidFill>
          </w14:textFill>
        </w:rPr>
        <w:t>具有以下优势：</w:t>
      </w:r>
    </w:p>
    <w:p w14:paraId="1A586F7C">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该厂址紧邻原有生活垃圾卫生填埋场，焚烧厂建成后，由于原生垃圾不在进入填埋场填埋，而直接用来焚烧发电，可以有效的改善周边环境。</w:t>
      </w:r>
    </w:p>
    <w:p w14:paraId="577215B8">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炉排炉工艺可有效控制烟气排放，</w:t>
      </w:r>
      <w:r>
        <w:rPr>
          <w:rFonts w:hint="eastAsia"/>
          <w:color w:val="000000" w:themeColor="text1"/>
          <w14:textFill>
            <w14:solidFill>
              <w14:schemeClr w14:val="tx1"/>
            </w14:solidFill>
          </w14:textFill>
        </w:rPr>
        <w:t>更易被周边老百姓接受；当垃圾收集量不足时候，可以焚烧陈年垃圾，腾空填埋场用作飞灰固化填埋。</w:t>
      </w:r>
    </w:p>
    <w:p w14:paraId="0692EE48">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不需要重新规划垃圾收运路线，减少场外配套的投资，原垃圾输送线路不变，易于被输送线路沿线居民接受。</w:t>
      </w:r>
    </w:p>
    <w:p w14:paraId="79EC38C0">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该厂址属于公用设施用地，适合焚烧厂的建设。</w:t>
      </w:r>
    </w:p>
    <w:p w14:paraId="5FD5346C">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该厂址紧邻原有生活垃圾卫生填埋场，填埋场可以作为飞灰及生活垃圾的应急处理场地。</w:t>
      </w:r>
    </w:p>
    <w:p w14:paraId="3DA9FCE0">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资源协同处理，焚烧厂远期还可以协同掺烧园区内餐厨、厨余、污泥、地沟油项目剩余的泥渣及沼渣280t/d。且在不影响生活垃圾焚烧炉污染物排放达标和焚烧炉正常运行的前提下，生活污水处理设施产生的污泥可以进入生活垃圾焚烧炉进行焚烧处置；一般工业固废掺烧的原则为在项目</w:t>
      </w:r>
      <w:r>
        <w:rPr>
          <w:rFonts w:hint="eastAsia"/>
          <w:color w:val="000000" w:themeColor="text1"/>
          <w:lang w:eastAsia="zh-CN"/>
          <w14:textFill>
            <w14:solidFill>
              <w14:schemeClr w14:val="tx1"/>
            </w14:solidFill>
          </w14:textFill>
        </w:rPr>
        <w:t>实施机构</w:t>
      </w:r>
      <w:r>
        <w:rPr>
          <w:rFonts w:hint="eastAsia"/>
          <w:color w:val="000000" w:themeColor="text1"/>
          <w14:textFill>
            <w14:solidFill>
              <w14:schemeClr w14:val="tx1"/>
            </w14:solidFill>
          </w14:textFill>
        </w:rPr>
        <w:t>允许的前提下进行掺烧。</w:t>
      </w:r>
    </w:p>
    <w:p w14:paraId="41A3EE27">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园区内有餐厨处理产生的沼气，后期考虑进入焚烧炉进行焚烧，可以提高燃料的热值。焚烧炉预留沼气接口。</w:t>
      </w:r>
    </w:p>
    <w:p w14:paraId="4556179A">
      <w:pPr>
        <w:numPr>
          <w:ilvl w:val="0"/>
          <w:numId w:val="1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焚烧厂附近有物流产业园及金属深加工园等，有一定用热需求。后期根据周围用热需求再考虑增加供热系统。</w:t>
      </w:r>
    </w:p>
    <w:p w14:paraId="2D0E475A">
      <w:pPr>
        <w:pStyle w:val="12"/>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INCLUDEPICTURE \d "C:\\Users\\徐维\\AppData\\Roaming\\Tencent\\Users\\467397779\\QQ\\WinTemp\\RichOle\\XNL]~~%NO798E0_E(WE5TW5.png" \* MERGEFORMATINET </w:instrText>
      </w:r>
      <w:r>
        <w:rPr>
          <w:color w:val="000000" w:themeColor="text1"/>
          <w:kern w:val="0"/>
          <w:lang w:bidi="ar"/>
          <w14:textFill>
            <w14:solidFill>
              <w14:schemeClr w14:val="tx1"/>
            </w14:solidFill>
          </w14:textFill>
        </w:rPr>
        <w:fldChar w:fldCharType="separate"/>
      </w:r>
      <w:r>
        <w:rPr>
          <w:color w:val="000000" w:themeColor="text1"/>
          <w:kern w:val="0"/>
          <w14:textFill>
            <w14:solidFill>
              <w14:schemeClr w14:val="tx1"/>
            </w14:solidFill>
          </w14:textFill>
        </w:rPr>
        <w:drawing>
          <wp:inline distT="0" distB="0" distL="114300" distR="114300">
            <wp:extent cx="2191385" cy="2184400"/>
            <wp:effectExtent l="0" t="0" r="5715" b="0"/>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19"/>
                    <a:stretch>
                      <a:fillRect/>
                    </a:stretch>
                  </pic:blipFill>
                  <pic:spPr>
                    <a:xfrm>
                      <a:off x="0" y="0"/>
                      <a:ext cx="2191385" cy="2184400"/>
                    </a:xfrm>
                    <a:prstGeom prst="rect">
                      <a:avLst/>
                    </a:prstGeom>
                    <a:noFill/>
                    <a:ln>
                      <a:noFill/>
                    </a:ln>
                  </pic:spPr>
                </pic:pic>
              </a:graphicData>
            </a:graphic>
          </wp:inline>
        </w:drawing>
      </w:r>
      <w:r>
        <w:rPr>
          <w:color w:val="000000" w:themeColor="text1"/>
          <w:kern w:val="0"/>
          <w:lang w:bidi="ar"/>
          <w14:textFill>
            <w14:solidFill>
              <w14:schemeClr w14:val="tx1"/>
            </w14:solidFill>
          </w14:textFill>
        </w:rPr>
        <w:fldChar w:fldCharType="end"/>
      </w:r>
      <w:r>
        <w:rPr>
          <w:color w:val="000000" w:themeColor="text1"/>
          <w:kern w:val="0"/>
          <w:lang w:bidi="ar"/>
          <w14:textFill>
            <w14:solidFill>
              <w14:schemeClr w14:val="tx1"/>
            </w14:solidFill>
          </w14:textFill>
        </w:rPr>
        <w:fldChar w:fldCharType="begin"/>
      </w:r>
      <w:r>
        <w:rPr>
          <w:color w:val="000000" w:themeColor="text1"/>
          <w:kern w:val="0"/>
          <w:lang w:bidi="ar"/>
          <w14:textFill>
            <w14:solidFill>
              <w14:schemeClr w14:val="tx1"/>
            </w14:solidFill>
          </w14:textFill>
        </w:rPr>
        <w:instrText xml:space="preserve">INCLUDEPICTURE \d "C:\\Users\\徐维\\AppData\\Roaming\\Tencent\\Users\\467397779\\QQ\\WinTemp\\RichOle\\2S4ZOZE35%LF8@M[]O6F0LM.png" \* MERGEFORMATINET </w:instrText>
      </w:r>
      <w:r>
        <w:rPr>
          <w:color w:val="000000" w:themeColor="text1"/>
          <w:kern w:val="0"/>
          <w:lang w:bidi="ar"/>
          <w14:textFill>
            <w14:solidFill>
              <w14:schemeClr w14:val="tx1"/>
            </w14:solidFill>
          </w14:textFill>
        </w:rPr>
        <w:fldChar w:fldCharType="separate"/>
      </w:r>
      <w:r>
        <w:rPr>
          <w:color w:val="000000" w:themeColor="text1"/>
          <w:kern w:val="0"/>
          <w14:textFill>
            <w14:solidFill>
              <w14:schemeClr w14:val="tx1"/>
            </w14:solidFill>
          </w14:textFill>
        </w:rPr>
        <w:drawing>
          <wp:inline distT="0" distB="0" distL="114300" distR="114300">
            <wp:extent cx="2559050" cy="2176145"/>
            <wp:effectExtent l="0" t="0" r="6350" b="8255"/>
            <wp:docPr id="4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56"/>
                    <pic:cNvPicPr>
                      <a:picLocks noChangeAspect="1"/>
                    </pic:cNvPicPr>
                  </pic:nvPicPr>
                  <pic:blipFill>
                    <a:blip r:embed="rId20"/>
                    <a:stretch>
                      <a:fillRect/>
                    </a:stretch>
                  </pic:blipFill>
                  <pic:spPr>
                    <a:xfrm>
                      <a:off x="0" y="0"/>
                      <a:ext cx="2559050" cy="2176145"/>
                    </a:xfrm>
                    <a:prstGeom prst="rect">
                      <a:avLst/>
                    </a:prstGeom>
                    <a:noFill/>
                    <a:ln>
                      <a:noFill/>
                    </a:ln>
                  </pic:spPr>
                </pic:pic>
              </a:graphicData>
            </a:graphic>
          </wp:inline>
        </w:drawing>
      </w:r>
      <w:r>
        <w:rPr>
          <w:color w:val="000000" w:themeColor="text1"/>
          <w:kern w:val="0"/>
          <w:lang w:bidi="ar"/>
          <w14:textFill>
            <w14:solidFill>
              <w14:schemeClr w14:val="tx1"/>
            </w14:solidFill>
          </w14:textFill>
        </w:rPr>
        <w:fldChar w:fldCharType="end"/>
      </w:r>
    </w:p>
    <w:p w14:paraId="17D408A9">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项目用地示意图</w:t>
      </w:r>
    </w:p>
    <w:p w14:paraId="3C5D0161">
      <w:pPr>
        <w:pStyle w:val="12"/>
        <w:ind w:left="0" w:leftChars="0" w:right="0" w:rightChars="0" w:firstLine="0" w:firstLineChars="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drawing>
          <wp:inline distT="0" distB="0" distL="114300" distR="114300">
            <wp:extent cx="5008245" cy="2879090"/>
            <wp:effectExtent l="0" t="0" r="8255" b="3810"/>
            <wp:docPr id="9" name="图片 9" descr="202408051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805142127"/>
                    <pic:cNvPicPr>
                      <a:picLocks noChangeAspect="1"/>
                    </pic:cNvPicPr>
                  </pic:nvPicPr>
                  <pic:blipFill>
                    <a:blip r:embed="rId21"/>
                    <a:stretch>
                      <a:fillRect/>
                    </a:stretch>
                  </pic:blipFill>
                  <pic:spPr>
                    <a:xfrm>
                      <a:off x="0" y="0"/>
                      <a:ext cx="5008245" cy="2879090"/>
                    </a:xfrm>
                    <a:prstGeom prst="rect">
                      <a:avLst/>
                    </a:prstGeom>
                  </pic:spPr>
                </pic:pic>
              </a:graphicData>
            </a:graphic>
          </wp:inline>
        </w:drawing>
      </w:r>
    </w:p>
    <w:p w14:paraId="570AB2BD">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厂址位置示意图</w:t>
      </w:r>
    </w:p>
    <w:p w14:paraId="230A800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项目选址方案充分考虑了生活垃圾焚烧发电厂的规划用地布局、拟占用土地避让耕地和永久基本农田、生态保护红线、历史文物、自然保护区等因素，</w:t>
      </w:r>
      <w:r>
        <w:rPr>
          <w:rFonts w:hint="eastAsia"/>
          <w:color w:val="000000" w:themeColor="text1"/>
          <w14:textFill>
            <w14:solidFill>
              <w14:schemeClr w14:val="tx1"/>
            </w14:solidFill>
          </w14:textFill>
        </w:rPr>
        <w:t>同时，现我国生活垃圾焚烧发电项目较为成熟，排烟气指标均能达到环保要求，且周边均无敏感区域，</w:t>
      </w:r>
      <w:r>
        <w:rPr>
          <w:color w:val="000000" w:themeColor="text1"/>
          <w14:textFill>
            <w14:solidFill>
              <w14:schemeClr w14:val="tx1"/>
            </w14:solidFill>
          </w14:textFill>
        </w:rPr>
        <w:t>建设用地选址内容论述清楚，方案选址合理。</w:t>
      </w:r>
    </w:p>
    <w:p w14:paraId="64DED7E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本项目不涉及生态保护红线。</w:t>
      </w:r>
    </w:p>
    <w:p w14:paraId="540D6B5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根据《土地勘测定界技术报告书》可知，本项目不占用耕地。</w:t>
      </w:r>
    </w:p>
    <w:p w14:paraId="21DBF22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本项目不涉及占用永久基本农田</w:t>
      </w:r>
      <w:r>
        <w:rPr>
          <w:rFonts w:hint="eastAsia"/>
          <w:color w:val="000000" w:themeColor="text1"/>
          <w14:textFill>
            <w14:solidFill>
              <w14:schemeClr w14:val="tx1"/>
            </w14:solidFill>
          </w14:textFill>
        </w:rPr>
        <w:t>，不涉及重要矿产压覆等情况。</w:t>
      </w:r>
    </w:p>
    <w:p w14:paraId="0DE66EB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用地考虑安全生产、工程运行安全等因素，结合行业专业技术设计规范、建设规范的前提下，本项目功能分区布置合理，符合国家节约集约土地的用地规定。与同类项目对比，节地水平较为先进，体现节约集约用地理念。</w:t>
      </w:r>
    </w:p>
    <w:p w14:paraId="5C31DEB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本项目选址不受50年一遇洪水或内涝威胁。</w:t>
      </w:r>
    </w:p>
    <w:p w14:paraId="1D03A82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按《中国地震动参数区划图》(GB18306-2015)可知，项目抗震设防烈度为8度，设计基本地震加速度值为0.2g，分类为第二组，拟建厂址内地基土不存在振动液化现象，为抗震有利地段。</w:t>
      </w:r>
    </w:p>
    <w:p w14:paraId="6571D1D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厂址周围300米范围内无居民区、学校、医院等敏感目标，距离最近的张家营子社区约2.9公里，可以保证卫生防护距离内无居民、无环境敏感点。</w:t>
      </w:r>
    </w:p>
    <w:p w14:paraId="5A8B2BF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本项目用地处于包头市城市上风向，同时距离铁路、高速距离较近，运输条件佳。且本项目不涉及生态环境敏感区，环境制约因素小，项目生态环境保障条件较好。</w:t>
      </w:r>
    </w:p>
    <w:p w14:paraId="2821D62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4年6月本项目《包头市生活垃圾焚烧发电项目节约集约用地论证分析专章》通过审查。</w:t>
      </w:r>
    </w:p>
    <w:p w14:paraId="35217DF2">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水文气象情况</w:t>
      </w:r>
    </w:p>
    <w:p w14:paraId="60E9765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于包头市昆都仑区西北部，项目所在地区域内较为平整，没有高大树木，局部有荒地。全年平均气温为7.2℃,年平均风速1.2米/秒，年降水总量421.8毫米，年日照时数2882.2小时。该厂址符合地方规划及国家现有行业标准，不受洪水、潮水或内涝的威胁。</w:t>
      </w:r>
    </w:p>
    <w:p w14:paraId="776DE81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工程地质条件</w:t>
      </w:r>
    </w:p>
    <w:p w14:paraId="19C3091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项目所在地区域内较为平整，没有高大树木，局部有荒地。厂址周边自然环境条件、水文地质条件等对焚烧发电厂建设项目的影响不大，符合安全生产要求。</w:t>
      </w:r>
    </w:p>
    <w:p w14:paraId="054FF957">
      <w:pPr>
        <w:ind w:firstLine="480" w:firstLineChars="200"/>
        <w:jc w:val="center"/>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fldChar w:fldCharType="begin"/>
      </w:r>
      <w:r>
        <w:rPr>
          <w:color w:val="000000" w:themeColor="text1"/>
          <w:kern w:val="0"/>
          <w:sz w:val="24"/>
          <w:lang w:bidi="ar"/>
          <w14:textFill>
            <w14:solidFill>
              <w14:schemeClr w14:val="tx1"/>
            </w14:solidFill>
          </w14:textFill>
        </w:rPr>
        <w:instrText xml:space="preserve">INCLUDEPICTURE \d "C:\\Users\\徐维\\AppData\\Roaming\\Tencent\\Users\\467397779\\QQ\\WinTemp\\RichOle\\Q[VZT)B6E]JE%~O~G{RTB]U.png" \* MERGEFORMATINET </w:instrText>
      </w:r>
      <w:r>
        <w:rPr>
          <w:color w:val="000000" w:themeColor="text1"/>
          <w:kern w:val="0"/>
          <w:sz w:val="24"/>
          <w:lang w:bidi="ar"/>
          <w14:textFill>
            <w14:solidFill>
              <w14:schemeClr w14:val="tx1"/>
            </w14:solidFill>
          </w14:textFill>
        </w:rPr>
        <w:fldChar w:fldCharType="separate"/>
      </w:r>
      <w:r>
        <w:rPr>
          <w:color w:val="000000" w:themeColor="text1"/>
          <w:kern w:val="0"/>
          <w:sz w:val="24"/>
          <w14:textFill>
            <w14:solidFill>
              <w14:schemeClr w14:val="tx1"/>
            </w14:solidFill>
          </w14:textFill>
        </w:rPr>
        <w:drawing>
          <wp:inline distT="0" distB="0" distL="114300" distR="114300">
            <wp:extent cx="4686935" cy="2771775"/>
            <wp:effectExtent l="0" t="0" r="18415" b="9525"/>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22"/>
                    <a:stretch>
                      <a:fillRect/>
                    </a:stretch>
                  </pic:blipFill>
                  <pic:spPr>
                    <a:xfrm>
                      <a:off x="0" y="0"/>
                      <a:ext cx="4686935" cy="2771775"/>
                    </a:xfrm>
                    <a:prstGeom prst="rect">
                      <a:avLst/>
                    </a:prstGeom>
                    <a:noFill/>
                    <a:ln>
                      <a:noFill/>
                    </a:ln>
                  </pic:spPr>
                </pic:pic>
              </a:graphicData>
            </a:graphic>
          </wp:inline>
        </w:drawing>
      </w:r>
      <w:r>
        <w:rPr>
          <w:color w:val="000000" w:themeColor="text1"/>
          <w:kern w:val="0"/>
          <w:sz w:val="24"/>
          <w:lang w:bidi="ar"/>
          <w14:textFill>
            <w14:solidFill>
              <w14:schemeClr w14:val="tx1"/>
            </w14:solidFill>
          </w14:textFill>
        </w:rPr>
        <w:fldChar w:fldCharType="end"/>
      </w:r>
    </w:p>
    <w:p w14:paraId="681D2664">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水源情况图</w:t>
      </w:r>
    </w:p>
    <w:p w14:paraId="4156B57A">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周边居民</w:t>
      </w:r>
    </w:p>
    <w:p w14:paraId="367CD96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厂址周围300米无居民区，距离最近的招庙社区约2.9公里，可以保证卫生防护距离内无居民、无环境敏感点。</w:t>
      </w:r>
    </w:p>
    <w:p w14:paraId="6EADBE60">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周边配套</w:t>
      </w:r>
    </w:p>
    <w:p w14:paraId="097FF4AC">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交通：</w:t>
      </w:r>
      <w:r>
        <w:rPr>
          <w:rFonts w:hint="eastAsia"/>
          <w:color w:val="000000" w:themeColor="text1"/>
          <w14:textFill>
            <w14:solidFill>
              <w14:schemeClr w14:val="tx1"/>
            </w14:solidFill>
          </w14:textFill>
        </w:rPr>
        <w:t>厂址南侧距G6京藏高速约0.1公里，距金属深加工园约0.4公里；西距包头西立交约0.4公里；东距昆都仑召站约3公里；交通条件十分便利。</w:t>
      </w:r>
    </w:p>
    <w:p w14:paraId="13151285">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电网：</w:t>
      </w: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项目实施机构</w:t>
      </w:r>
      <w:r>
        <w:rPr>
          <w:rFonts w:hint="eastAsia"/>
          <w:color w:val="000000" w:themeColor="text1"/>
          <w14:textFill>
            <w14:solidFill>
              <w14:schemeClr w14:val="tx1"/>
            </w14:solidFill>
          </w14:textFill>
        </w:rPr>
        <w:t>反馈拟建厂址10公里处110kV电压等级并网，具体以接入系统设计方案为准。</w:t>
      </w:r>
    </w:p>
    <w:p w14:paraId="65A9645C">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水源：</w:t>
      </w:r>
      <w:r>
        <w:rPr>
          <w:rFonts w:hint="eastAsia"/>
          <w:color w:val="000000" w:themeColor="text1"/>
          <w14:textFill>
            <w14:solidFill>
              <w14:schemeClr w14:val="tx1"/>
            </w14:solidFill>
          </w14:textFill>
        </w:rPr>
        <w:t>本项目生产用水拟取用中水，距离西郊污水厂约10公里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生活用水取自市政自来水，自来水管线已经接到厂区边界。</w:t>
      </w:r>
    </w:p>
    <w:p w14:paraId="721FF91D">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灰渣</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飞灰</w:t>
      </w:r>
      <w:r>
        <w:rPr>
          <w:rFonts w:hint="eastAsia"/>
          <w:color w:val="000000" w:themeColor="text1"/>
          <w14:textFill>
            <w14:solidFill>
              <w14:schemeClr w14:val="tx1"/>
            </w14:solidFill>
          </w14:textFill>
        </w:rPr>
        <w:t>处理</w:t>
      </w:r>
    </w:p>
    <w:p w14:paraId="4FA4C41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本项目的炉渣运输至拟建静脉产业园区内的炉渣综合利用项目。条件不具备时候，送至包头市生活垃圾处理中心填埋处理。</w:t>
      </w:r>
    </w:p>
    <w:p w14:paraId="7F02CE2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飞灰在厂内经稳定化处理及养护达到合格标准后，送往包头市生活垃圾处理中心填埋处理。目前包头市生活垃圾处理中心2023年填埋普拉特电厂飞灰6.03万吨，本项目飞灰年产生量0.9万吨，远低于普拉特电厂规模，因此包头市生活垃圾处理中心可满足两个焚烧厂的飞灰填埋需要。最终以环境影响评价报告中对应结论为准。</w:t>
      </w:r>
    </w:p>
    <w:p w14:paraId="29AC031E">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给排水</w:t>
      </w:r>
    </w:p>
    <w:p w14:paraId="4700521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本工程给排水设计范围包括全厂的给水和排水工程，其中包括循环水管网及全厂给排水（包括雨水）管网设计。</w:t>
      </w:r>
    </w:p>
    <w:p w14:paraId="72592A8B">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水源</w:t>
      </w:r>
    </w:p>
    <w:p w14:paraId="61C2049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本项目生产用水拟取用中水，距离西郊污水厂约10公里，污水厂有规划管径为DN300的中水管线；生活用水取自市政自来水。</w:t>
      </w:r>
    </w:p>
    <w:p w14:paraId="6B360212">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用水量</w:t>
      </w:r>
    </w:p>
    <w:p w14:paraId="11FA4CC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工业水用水量：约为1785m³/d。</w:t>
      </w:r>
    </w:p>
    <w:p w14:paraId="4A5F1DEB">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自来水用水量：约为15.4m³/d。</w:t>
      </w:r>
    </w:p>
    <w:p w14:paraId="3E0B94BE">
      <w:pPr>
        <w:numPr>
          <w:ilvl w:val="0"/>
          <w:numId w:val="17"/>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自来水用水</w:t>
      </w:r>
    </w:p>
    <w:p w14:paraId="5D5604B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生活用水量按0.25m³/人·班计算，全厂生活日用水量约为16.8立方米。考虑实验室及未预见用水量，自来水用水量一期为15.4m³/d。</w:t>
      </w:r>
    </w:p>
    <w:p w14:paraId="48004D41">
      <w:pPr>
        <w:numPr>
          <w:ilvl w:val="0"/>
          <w:numId w:val="17"/>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生产用水</w:t>
      </w:r>
    </w:p>
    <w:p w14:paraId="4EA08FDA">
      <w:pPr>
        <w:numPr>
          <w:ilvl w:val="0"/>
          <w:numId w:val="18"/>
        </w:numPr>
        <w:ind w:left="0"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循环冷却水用水量</w:t>
      </w:r>
    </w:p>
    <w:p w14:paraId="00BB84D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循环冷却水供水对象为汽轮发电机组、空冷器、冷油器等设备。总循环冷却水量为：89232m³/d。</w:t>
      </w:r>
    </w:p>
    <w:p w14:paraId="34E44CD4">
      <w:pPr>
        <w:numPr>
          <w:ilvl w:val="0"/>
          <w:numId w:val="18"/>
        </w:numPr>
        <w:ind w:left="0"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工业新水用水量</w:t>
      </w:r>
    </w:p>
    <w:p w14:paraId="35642C3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工业新水主要供给循环水系统补充水、化水制备用水、绿化用水等，用水量约1785m³/d。</w:t>
      </w:r>
    </w:p>
    <w:p w14:paraId="5F0239F3">
      <w:pPr>
        <w:numPr>
          <w:ilvl w:val="0"/>
          <w:numId w:val="18"/>
        </w:numPr>
        <w:ind w:left="0"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重复利用水用水量</w:t>
      </w:r>
    </w:p>
    <w:p w14:paraId="73760554">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本厂区用水充分考虑优水优用、处理水回用的原则，将满足要求的水重复利用。</w:t>
      </w:r>
    </w:p>
    <w:p w14:paraId="11B7507E">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采用化水车间浓水作为定排降温冷却用水，降温后由泵提升，回用于炉排漏渣输送机、给料斗及溜槽冷却水、除渣机冷却等用水点，循环水排水作为地面冲洗、道路冲洗等的用水，相当于减少冷却塔的排污水量，实现水的重复利用，从而达到节约厂区用水的目的，重复利用水量为352m³/d。</w:t>
      </w:r>
    </w:p>
    <w:p w14:paraId="4097B7AF">
      <w:pPr>
        <w:numPr>
          <w:ilvl w:val="0"/>
          <w:numId w:val="17"/>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消防用水</w:t>
      </w:r>
    </w:p>
    <w:p w14:paraId="176E7A1C">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整个厂区消防系统包括室内消火栓给水系统、垃圾仓消防炮系统及室外消火栓给水系统。</w:t>
      </w:r>
    </w:p>
    <w:p w14:paraId="044F4D3B">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水量以全厂最大一座建筑物即综合主厂房计算，耐火等级二级，丁类厂房。根据《消防给水及消火栓系统技术规范》（GB50974-2014），室内消火栓用水量为25L/s，室外消火栓用水量为20L/s，火灾持续时间2小时；垃圾池设消防炮，消防炮灭火系统用水量为60L/s，火灾持续时间1小时。一起火灾灭火用水量为：3.6×（20×2+25×2）+3.6×60×1=540m³。</w:t>
      </w:r>
    </w:p>
    <w:p w14:paraId="715287BA">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供水</w:t>
      </w:r>
    </w:p>
    <w:p w14:paraId="062DECB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生活用水来自市政供水管网的自来水接至综合泵房内的生活水箱，再由生活水泵加压后供给厂区内部生活用水供水管网。</w:t>
      </w:r>
    </w:p>
    <w:p w14:paraId="2ADF3C51">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生产用水水源取自中水管网，水质较好，可直接供生产使用。</w:t>
      </w:r>
    </w:p>
    <w:p w14:paraId="5119B15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冷却水循环选用3台循环水泵，供给汽机间凝汽器、空冷器及油冷器的冷却水，2用1备，冬季有单泵运行的可能，选用单级双吸离心泵，辅机系统冷却设2台工业水泵。厂区设2台逆流式混凝土结构机力通风冷却塔，单台冷却水量2600立方米/h，配用玻璃钢轴流风机，风机为双速风机，单台功率75（45）kW。由于冷却塔的风吹、蒸发损失的影响会使循环水中的盐分浓缩，从而对设备的运行带来安全隐患，因此，冷却塔系统需要进行排污才能保持盐分的相对稳定，排污的同时需要补水，由工业新水供给。为保证循环水水质稳定，防止在各用水设备中产生污垢和腐蚀，设计在冷却水中投加水质稳定剂，选择水质稳定剂设备1套，放置在综合泵房内。投加水质稳定剂的种类、数量及清洗、预膜等，宜经过水质稳定试验确定。</w:t>
      </w:r>
    </w:p>
    <w:p w14:paraId="61B610A1">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厂区消防系统包括室内、外消火栓系统及消防炮灭火系统。消防用水储存在消防水池中，采用临时高压消防给水系统，主厂房设高位消防水箱，配套稳压泵及气压水罐一套，保证火灾初期的水量和水压，水箱有效容积18立方米，火灾时启动消火栓供水泵灭火。消火栓系统设压力开关，消防水箱出水管设流量开关，火灾时根据压力开关及流量开关启动消火栓供水泵。主厂房外四周设置环状消防给水管网，室内外消防共用，厂区设置室外地上式消火栓，间距不超过120m。从室外消防环网上引出2条干管，接至室内消防环状管网上，确保消防用水安全可靠。在汽机间、焚烧锅炉间的底层和运转层、除氧间运转层、楼梯间等均设有室内消火栓。在垃圾池四周设置消防水炮，确保垃圾池内任一区域有两股水柱同时到达。选用消火栓供水泵2台，设于综合水泵房内，1用1备。选用消防炮供水泵2台，设于综合水泵房内，1用1备。各车间设手提式磷酸铵盐干粉灭火器，汽机房内的油箱采用移动式泡沫灭火装置。</w:t>
      </w:r>
    </w:p>
    <w:p w14:paraId="20A8D425">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p w14:paraId="07DF594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厂区排水系统分为污水系统和雨水系统，雨污分流制。污水包括垃圾渗沥液、生活污水等，送至厂内设置的渗沥液处理站处理。</w:t>
      </w:r>
    </w:p>
    <w:p w14:paraId="1E6F9C8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渗沥液处理站设计处理规模300m3/d，处理出水达到《城市污水再生利用工业用水水质》（GB/T19923-2005）中敞开式循环冷却水补充水水质标准后回用，浓缩液用于石灰浆制备和飞灰稳定化，零排放，不外排。循环排污水、定排降温水水质较好，为清洁废水，优先厂内回用，多余部分进入工业废水处理站处理。废水经处理达到《城市污水再生利用工业用水水质》(GB19923-2005)和《城市污水再生利用城市杂用水水质》(GB/T18920-2002)要求。</w:t>
      </w:r>
    </w:p>
    <w:p w14:paraId="3AD3D9C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降落至本厂区的雨水由雨水口收集后，经厂区雨水管网收集排入就近市政雨水管网。</w:t>
      </w:r>
    </w:p>
    <w:p w14:paraId="6C577E9D">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渗滤液处理工艺</w:t>
      </w:r>
    </w:p>
    <w:p w14:paraId="73A1318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渗沥液处理采用的工艺方案比选如下：</w:t>
      </w:r>
    </w:p>
    <w:p w14:paraId="09F55EC3">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渗沥液处理工艺比选表</w:t>
      </w:r>
    </w:p>
    <w:tbl>
      <w:tblPr>
        <w:tblStyle w:val="52"/>
        <w:tblW w:w="855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1"/>
        <w:gridCol w:w="4145"/>
        <w:gridCol w:w="2858"/>
      </w:tblGrid>
      <w:tr w14:paraId="40FFB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551" w:type="dxa"/>
            <w:tcBorders>
              <w:tl2br w:val="nil"/>
              <w:tr2bl w:val="nil"/>
            </w:tcBorders>
            <w:shd w:val="clear" w:color="auto" w:fill="BDD6EE" w:themeFill="accent1" w:themeFillTint="66"/>
            <w:vAlign w:val="center"/>
          </w:tcPr>
          <w:p w14:paraId="25410F2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项目</w:t>
            </w:r>
          </w:p>
        </w:tc>
        <w:tc>
          <w:tcPr>
            <w:tcW w:w="4145" w:type="dxa"/>
            <w:tcBorders>
              <w:tl2br w:val="nil"/>
              <w:tr2bl w:val="nil"/>
            </w:tcBorders>
            <w:shd w:val="clear" w:color="auto" w:fill="BDD6EE" w:themeFill="accent1" w:themeFillTint="66"/>
            <w:vAlign w:val="center"/>
          </w:tcPr>
          <w:p w14:paraId="4BEFC48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方案一</w:t>
            </w:r>
          </w:p>
        </w:tc>
        <w:tc>
          <w:tcPr>
            <w:tcW w:w="2858" w:type="dxa"/>
            <w:tcBorders>
              <w:tl2br w:val="nil"/>
              <w:tr2bl w:val="nil"/>
            </w:tcBorders>
            <w:shd w:val="clear" w:color="auto" w:fill="BDD6EE" w:themeFill="accent1" w:themeFillTint="66"/>
            <w:vAlign w:val="center"/>
          </w:tcPr>
          <w:p w14:paraId="48535C1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5"/>
                <w:sz w:val="24"/>
                <w:szCs w:val="24"/>
                <w14:textFill>
                  <w14:solidFill>
                    <w14:schemeClr w14:val="tx1"/>
                  </w14:solidFill>
                </w14:textFill>
              </w:rPr>
              <w:t>方案二</w:t>
            </w:r>
          </w:p>
        </w:tc>
      </w:tr>
      <w:tr w14:paraId="4DDB4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551" w:type="dxa"/>
            <w:tcBorders>
              <w:tl2br w:val="nil"/>
              <w:tr2bl w:val="nil"/>
            </w:tcBorders>
            <w:vAlign w:val="center"/>
          </w:tcPr>
          <w:p w14:paraId="2D0F8455">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基本工艺流程</w:t>
            </w:r>
          </w:p>
        </w:tc>
        <w:tc>
          <w:tcPr>
            <w:tcW w:w="4145" w:type="dxa"/>
            <w:tcBorders>
              <w:tl2br w:val="nil"/>
              <w:tr2bl w:val="nil"/>
            </w:tcBorders>
            <w:vAlign w:val="center"/>
          </w:tcPr>
          <w:p w14:paraId="47546BEC">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预处理+高效厌氧+</w:t>
            </w:r>
            <w:r>
              <w:rPr>
                <w:rFonts w:hint="eastAsia" w:ascii="仿宋" w:hAnsi="仿宋" w:cs="仿宋"/>
                <w:color w:val="000000" w:themeColor="text1"/>
                <w:sz w:val="24"/>
                <w:szCs w:val="24"/>
                <w14:textFill>
                  <w14:solidFill>
                    <w14:schemeClr w14:val="tx1"/>
                  </w14:solidFill>
                </w14:textFill>
              </w:rPr>
              <w:t>MBR</w:t>
            </w:r>
            <w:r>
              <w:rPr>
                <w:rFonts w:hint="eastAsia" w:ascii="仿宋" w:hAnsi="仿宋" w:cs="仿宋"/>
                <w:color w:val="000000" w:themeColor="text1"/>
                <w:spacing w:val="9"/>
                <w:sz w:val="24"/>
                <w:szCs w:val="24"/>
                <w14:textFill>
                  <w14:solidFill>
                    <w14:schemeClr w14:val="tx1"/>
                  </w14:solidFill>
                </w14:textFill>
              </w:rPr>
              <w:t>+化学软化+反</w:t>
            </w:r>
            <w:r>
              <w:rPr>
                <w:rFonts w:hint="eastAsia" w:ascii="仿宋" w:hAnsi="仿宋" w:cs="仿宋"/>
                <w:color w:val="000000" w:themeColor="text1"/>
                <w:spacing w:val="4"/>
                <w:sz w:val="24"/>
                <w:szCs w:val="24"/>
                <w14:textFill>
                  <w14:solidFill>
                    <w14:schemeClr w14:val="tx1"/>
                  </w14:solidFill>
                </w14:textFill>
              </w:rPr>
              <w:t>渗透</w:t>
            </w:r>
          </w:p>
        </w:tc>
        <w:tc>
          <w:tcPr>
            <w:tcW w:w="2858" w:type="dxa"/>
            <w:tcBorders>
              <w:tl2br w:val="nil"/>
              <w:tr2bl w:val="nil"/>
            </w:tcBorders>
            <w:vAlign w:val="center"/>
          </w:tcPr>
          <w:p w14:paraId="0CBD1BAC">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4"/>
                <w:sz w:val="24"/>
                <w:szCs w:val="24"/>
                <w14:textFill>
                  <w14:solidFill>
                    <w14:schemeClr w14:val="tx1"/>
                  </w14:solidFill>
                </w14:textFill>
              </w:rPr>
              <w:t>两级</w:t>
            </w:r>
            <w:r>
              <w:rPr>
                <w:rFonts w:hint="eastAsia" w:ascii="仿宋" w:hAnsi="仿宋" w:cs="仿宋"/>
                <w:color w:val="000000" w:themeColor="text1"/>
                <w:sz w:val="24"/>
                <w:szCs w:val="24"/>
                <w14:textFill>
                  <w14:solidFill>
                    <w14:schemeClr w14:val="tx1"/>
                  </w14:solidFill>
                </w14:textFill>
              </w:rPr>
              <w:t>DTRO</w:t>
            </w:r>
          </w:p>
        </w:tc>
      </w:tr>
      <w:tr w14:paraId="6B11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51" w:type="dxa"/>
            <w:tcBorders>
              <w:tl2br w:val="nil"/>
              <w:tr2bl w:val="nil"/>
            </w:tcBorders>
            <w:vAlign w:val="center"/>
          </w:tcPr>
          <w:p w14:paraId="7156EDD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处理原理</w:t>
            </w:r>
          </w:p>
        </w:tc>
        <w:tc>
          <w:tcPr>
            <w:tcW w:w="4145" w:type="dxa"/>
            <w:tcBorders>
              <w:tl2br w:val="nil"/>
              <w:tr2bl w:val="nil"/>
            </w:tcBorders>
            <w:vAlign w:val="center"/>
          </w:tcPr>
          <w:p w14:paraId="2EEFD243">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生化处理与膜处理工艺结合</w:t>
            </w:r>
          </w:p>
        </w:tc>
        <w:tc>
          <w:tcPr>
            <w:tcW w:w="2858" w:type="dxa"/>
            <w:tcBorders>
              <w:tl2br w:val="nil"/>
              <w:tr2bl w:val="nil"/>
            </w:tcBorders>
            <w:vAlign w:val="center"/>
          </w:tcPr>
          <w:p w14:paraId="416216CD">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采用单纯的高压反渗透工艺</w:t>
            </w:r>
          </w:p>
        </w:tc>
      </w:tr>
      <w:tr w14:paraId="4213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1551" w:type="dxa"/>
            <w:tcBorders>
              <w:tl2br w:val="nil"/>
              <w:tr2bl w:val="nil"/>
            </w:tcBorders>
            <w:vAlign w:val="center"/>
          </w:tcPr>
          <w:p w14:paraId="1C83B71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进水水质影响</w:t>
            </w:r>
          </w:p>
        </w:tc>
        <w:tc>
          <w:tcPr>
            <w:tcW w:w="4145" w:type="dxa"/>
            <w:tcBorders>
              <w:tl2br w:val="nil"/>
              <w:tr2bl w:val="nil"/>
            </w:tcBorders>
            <w:vAlign w:val="center"/>
          </w:tcPr>
          <w:p w14:paraId="04145350">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厌氧系统抗冲击负荷能力较强，进水水</w:t>
            </w:r>
            <w:r>
              <w:rPr>
                <w:rFonts w:hint="eastAsia" w:ascii="仿宋" w:hAnsi="仿宋" w:cs="仿宋"/>
                <w:color w:val="000000" w:themeColor="text1"/>
                <w:spacing w:val="5"/>
                <w:sz w:val="24"/>
                <w:szCs w:val="24"/>
                <w14:textFill>
                  <w14:solidFill>
                    <w14:schemeClr w14:val="tx1"/>
                  </w14:solidFill>
                </w14:textFill>
              </w:rPr>
              <w:t>质对其影响不大。</w:t>
            </w:r>
            <w:r>
              <w:rPr>
                <w:rFonts w:hint="eastAsia" w:ascii="仿宋" w:hAnsi="仿宋" w:cs="仿宋"/>
                <w:color w:val="000000" w:themeColor="text1"/>
                <w:sz w:val="24"/>
                <w:szCs w:val="24"/>
                <w14:textFill>
                  <w14:solidFill>
                    <w14:schemeClr w14:val="tx1"/>
                  </w14:solidFill>
                </w14:textFill>
              </w:rPr>
              <w:t>MBR</w:t>
            </w:r>
            <w:r>
              <w:rPr>
                <w:rFonts w:hint="eastAsia" w:ascii="仿宋" w:hAnsi="仿宋" w:cs="仿宋"/>
                <w:color w:val="000000" w:themeColor="text1"/>
                <w:spacing w:val="5"/>
                <w:sz w:val="24"/>
                <w:szCs w:val="24"/>
                <w14:textFill>
                  <w14:solidFill>
                    <w14:schemeClr w14:val="tx1"/>
                  </w14:solidFill>
                </w14:textFill>
              </w:rPr>
              <w:t>系统较好去除氨</w:t>
            </w:r>
            <w:r>
              <w:rPr>
                <w:rFonts w:hint="eastAsia" w:ascii="仿宋" w:hAnsi="仿宋" w:cs="仿宋"/>
                <w:color w:val="000000" w:themeColor="text1"/>
                <w:spacing w:val="1"/>
                <w:sz w:val="24"/>
                <w:szCs w:val="24"/>
                <w14:textFill>
                  <w14:solidFill>
                    <w14:schemeClr w14:val="tx1"/>
                  </w14:solidFill>
                </w14:textFill>
              </w:rPr>
              <w:t>氮。</w:t>
            </w:r>
          </w:p>
        </w:tc>
        <w:tc>
          <w:tcPr>
            <w:tcW w:w="2858" w:type="dxa"/>
            <w:tcBorders>
              <w:tl2br w:val="nil"/>
              <w:tr2bl w:val="nil"/>
            </w:tcBorders>
            <w:vAlign w:val="center"/>
          </w:tcPr>
          <w:p w14:paraId="1ACCE900">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不依赖生化处理，抗冲击负荷能</w:t>
            </w:r>
            <w:r>
              <w:rPr>
                <w:rFonts w:hint="eastAsia" w:ascii="仿宋" w:hAnsi="仿宋" w:cs="仿宋"/>
                <w:color w:val="000000" w:themeColor="text1"/>
                <w:spacing w:val="2"/>
                <w:sz w:val="24"/>
                <w:szCs w:val="24"/>
                <w14:textFill>
                  <w14:solidFill>
                    <w14:schemeClr w14:val="tx1"/>
                  </w14:solidFill>
                </w14:textFill>
              </w:rPr>
              <w:t>力强。</w:t>
            </w:r>
          </w:p>
        </w:tc>
      </w:tr>
      <w:tr w14:paraId="0A2A9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551" w:type="dxa"/>
            <w:tcBorders>
              <w:tl2br w:val="nil"/>
              <w:tr2bl w:val="nil"/>
            </w:tcBorders>
            <w:vAlign w:val="center"/>
          </w:tcPr>
          <w:p w14:paraId="7BD70ABF">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浓缩液</w:t>
            </w:r>
            <w:r>
              <w:rPr>
                <w:rFonts w:hint="eastAsia" w:ascii="仿宋" w:hAnsi="仿宋" w:cs="仿宋"/>
                <w:color w:val="000000" w:themeColor="text1"/>
                <w:spacing w:val="2"/>
                <w:sz w:val="24"/>
                <w:szCs w:val="24"/>
                <w14:textFill>
                  <w14:solidFill>
                    <w14:schemeClr w14:val="tx1"/>
                  </w14:solidFill>
                </w14:textFill>
              </w:rPr>
              <w:t>处理</w:t>
            </w:r>
          </w:p>
        </w:tc>
        <w:tc>
          <w:tcPr>
            <w:tcW w:w="4145" w:type="dxa"/>
            <w:tcBorders>
              <w:tl2br w:val="nil"/>
              <w:tr2bl w:val="nil"/>
            </w:tcBorders>
            <w:vAlign w:val="center"/>
          </w:tcPr>
          <w:p w14:paraId="03C4408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浓缩液较少</w:t>
            </w:r>
          </w:p>
        </w:tc>
        <w:tc>
          <w:tcPr>
            <w:tcW w:w="2858" w:type="dxa"/>
            <w:tcBorders>
              <w:tl2br w:val="nil"/>
              <w:tr2bl w:val="nil"/>
            </w:tcBorders>
            <w:vAlign w:val="center"/>
          </w:tcPr>
          <w:p w14:paraId="1AECD16A">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浓缩液较多</w:t>
            </w:r>
          </w:p>
        </w:tc>
      </w:tr>
      <w:tr w14:paraId="73FEE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1551" w:type="dxa"/>
            <w:tcBorders>
              <w:tl2br w:val="nil"/>
              <w:tr2bl w:val="nil"/>
            </w:tcBorders>
            <w:vAlign w:val="center"/>
          </w:tcPr>
          <w:p w14:paraId="1FCF829B">
            <w:pPr>
              <w:spacing w:line="240" w:lineRule="auto"/>
              <w:rPr>
                <w:rFonts w:hint="eastAsia" w:ascii="仿宋" w:hAnsi="仿宋" w:cs="仿宋"/>
                <w:color w:val="000000" w:themeColor="text1"/>
                <w:spacing w:val="6"/>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水质标准</w:t>
            </w:r>
          </w:p>
        </w:tc>
        <w:tc>
          <w:tcPr>
            <w:tcW w:w="4145" w:type="dxa"/>
            <w:tcBorders>
              <w:tl2br w:val="nil"/>
              <w:tr2bl w:val="nil"/>
            </w:tcBorders>
            <w:vAlign w:val="center"/>
          </w:tcPr>
          <w:p w14:paraId="76D22502">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达到《城市污水再生利用工业用水水</w:t>
            </w:r>
            <w:r>
              <w:rPr>
                <w:rFonts w:hint="eastAsia" w:ascii="仿宋" w:hAnsi="仿宋" w:cs="仿宋"/>
                <w:color w:val="000000" w:themeColor="text1"/>
                <w:spacing w:val="7"/>
                <w:sz w:val="24"/>
                <w:szCs w:val="24"/>
                <w14:textFill>
                  <w14:solidFill>
                    <w14:schemeClr w14:val="tx1"/>
                  </w14:solidFill>
                </w14:textFill>
              </w:rPr>
              <w:t>质》（</w:t>
            </w:r>
            <w:r>
              <w:rPr>
                <w:rFonts w:hint="eastAsia" w:ascii="仿宋" w:hAnsi="仿宋" w:cs="仿宋"/>
                <w:color w:val="000000" w:themeColor="text1"/>
                <w:sz w:val="24"/>
                <w:szCs w:val="24"/>
                <w14:textFill>
                  <w14:solidFill>
                    <w14:schemeClr w14:val="tx1"/>
                  </w14:solidFill>
                </w14:textFill>
              </w:rPr>
              <w:t>GB</w:t>
            </w:r>
            <w:r>
              <w:rPr>
                <w:rFonts w:hint="eastAsia" w:ascii="仿宋" w:hAnsi="仿宋" w:cs="仿宋"/>
                <w:color w:val="000000" w:themeColor="text1"/>
                <w:spacing w:val="7"/>
                <w:sz w:val="24"/>
                <w:szCs w:val="24"/>
                <w14:textFill>
                  <w14:solidFill>
                    <w14:schemeClr w14:val="tx1"/>
                  </w14:solidFill>
                </w14:textFill>
              </w:rPr>
              <w:t>/T19923-2005）中敞开式循环</w:t>
            </w:r>
            <w:r>
              <w:rPr>
                <w:rFonts w:hint="eastAsia" w:ascii="仿宋" w:hAnsi="仿宋" w:cs="仿宋"/>
                <w:color w:val="000000" w:themeColor="text1"/>
                <w:spacing w:val="8"/>
                <w:sz w:val="24"/>
                <w:szCs w:val="24"/>
                <w14:textFill>
                  <w14:solidFill>
                    <w14:schemeClr w14:val="tx1"/>
                  </w14:solidFill>
                </w14:textFill>
              </w:rPr>
              <w:t>冷却水系统补充水</w:t>
            </w:r>
          </w:p>
        </w:tc>
        <w:tc>
          <w:tcPr>
            <w:tcW w:w="2858" w:type="dxa"/>
            <w:tcBorders>
              <w:tl2br w:val="nil"/>
              <w:tr2bl w:val="nil"/>
            </w:tcBorders>
            <w:vAlign w:val="center"/>
          </w:tcPr>
          <w:p w14:paraId="76E2C079">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达到《城市污水再生利用工业用</w:t>
            </w:r>
            <w:r>
              <w:rPr>
                <w:rFonts w:hint="eastAsia" w:ascii="仿宋" w:hAnsi="仿宋" w:cs="仿宋"/>
                <w:color w:val="000000" w:themeColor="text1"/>
                <w:spacing w:val="7"/>
                <w:sz w:val="24"/>
                <w:szCs w:val="24"/>
                <w14:textFill>
                  <w14:solidFill>
                    <w14:schemeClr w14:val="tx1"/>
                  </w14:solidFill>
                </w14:textFill>
              </w:rPr>
              <w:t>水水质》（</w:t>
            </w:r>
            <w:r>
              <w:rPr>
                <w:rFonts w:hint="eastAsia" w:ascii="仿宋" w:hAnsi="仿宋" w:cs="仿宋"/>
                <w:color w:val="000000" w:themeColor="text1"/>
                <w:sz w:val="24"/>
                <w:szCs w:val="24"/>
                <w14:textFill>
                  <w14:solidFill>
                    <w14:schemeClr w14:val="tx1"/>
                  </w14:solidFill>
                </w14:textFill>
              </w:rPr>
              <w:t>GB</w:t>
            </w:r>
            <w:r>
              <w:rPr>
                <w:rFonts w:hint="eastAsia" w:ascii="仿宋" w:hAnsi="仿宋" w:cs="仿宋"/>
                <w:color w:val="000000" w:themeColor="text1"/>
                <w:spacing w:val="7"/>
                <w:sz w:val="24"/>
                <w:szCs w:val="24"/>
                <w14:textFill>
                  <w14:solidFill>
                    <w14:schemeClr w14:val="tx1"/>
                  </w14:solidFill>
                </w14:textFill>
              </w:rPr>
              <w:t>/T19923-2005）中</w:t>
            </w:r>
            <w:r>
              <w:rPr>
                <w:rFonts w:hint="eastAsia" w:ascii="仿宋" w:hAnsi="仿宋" w:cs="仿宋"/>
                <w:color w:val="000000" w:themeColor="text1"/>
                <w:spacing w:val="8"/>
                <w:sz w:val="24"/>
                <w:szCs w:val="24"/>
                <w14:textFill>
                  <w14:solidFill>
                    <w14:schemeClr w14:val="tx1"/>
                  </w14:solidFill>
                </w14:textFill>
              </w:rPr>
              <w:t>敞开式循环冷却水系统补充水</w:t>
            </w:r>
          </w:p>
        </w:tc>
      </w:tr>
      <w:tr w14:paraId="0C4D0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1551" w:type="dxa"/>
            <w:tcBorders>
              <w:tl2br w:val="nil"/>
              <w:tr2bl w:val="nil"/>
            </w:tcBorders>
            <w:vAlign w:val="center"/>
          </w:tcPr>
          <w:p w14:paraId="140352F9">
            <w:pPr>
              <w:spacing w:line="240" w:lineRule="auto"/>
              <w:rPr>
                <w:rFonts w:hint="eastAsia" w:ascii="仿宋" w:hAnsi="仿宋" w:cs="仿宋"/>
                <w:color w:val="000000" w:themeColor="text1"/>
                <w:spacing w:val="6"/>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工艺运行比较</w:t>
            </w:r>
          </w:p>
        </w:tc>
        <w:tc>
          <w:tcPr>
            <w:tcW w:w="4145" w:type="dxa"/>
            <w:tcBorders>
              <w:tl2br w:val="nil"/>
              <w:tr2bl w:val="nil"/>
            </w:tcBorders>
            <w:vAlign w:val="center"/>
          </w:tcPr>
          <w:p w14:paraId="5E92D1FA">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技术成熟，运行较多，</w:t>
            </w:r>
            <w:r>
              <w:rPr>
                <w:rFonts w:hint="eastAsia" w:ascii="仿宋" w:hAnsi="仿宋" w:cs="仿宋"/>
                <w:color w:val="000000" w:themeColor="text1"/>
                <w:spacing w:val="8"/>
                <w:sz w:val="24"/>
                <w:szCs w:val="24"/>
                <w14:textFill>
                  <w14:solidFill>
                    <w14:schemeClr w14:val="tx1"/>
                  </w14:solidFill>
                </w14:textFill>
              </w:rPr>
              <w:t>管理简单，能耗适中</w:t>
            </w:r>
          </w:p>
        </w:tc>
        <w:tc>
          <w:tcPr>
            <w:tcW w:w="2858" w:type="dxa"/>
            <w:tcBorders>
              <w:tl2br w:val="nil"/>
              <w:tr2bl w:val="nil"/>
            </w:tcBorders>
            <w:vAlign w:val="center"/>
          </w:tcPr>
          <w:p w14:paraId="418E5483">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有一定运行经验，运行管理复杂，</w:t>
            </w:r>
            <w:r>
              <w:rPr>
                <w:rFonts w:hint="eastAsia" w:ascii="仿宋" w:hAnsi="仿宋" w:cs="仿宋"/>
                <w:color w:val="000000" w:themeColor="text1"/>
                <w:spacing w:val="9"/>
                <w:sz w:val="24"/>
                <w:szCs w:val="24"/>
                <w14:textFill>
                  <w14:solidFill>
                    <w14:schemeClr w14:val="tx1"/>
                  </w14:solidFill>
                </w14:textFill>
              </w:rPr>
              <w:t>设备技术要求条件较高，能耗高</w:t>
            </w:r>
          </w:p>
        </w:tc>
      </w:tr>
      <w:tr w14:paraId="1706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1551" w:type="dxa"/>
            <w:tcBorders>
              <w:tl2br w:val="nil"/>
              <w:tr2bl w:val="nil"/>
            </w:tcBorders>
            <w:vAlign w:val="center"/>
          </w:tcPr>
          <w:p w14:paraId="0203E439">
            <w:pPr>
              <w:spacing w:line="240" w:lineRule="auto"/>
              <w:rPr>
                <w:rFonts w:hint="eastAsia" w:ascii="仿宋" w:hAnsi="仿宋" w:cs="仿宋"/>
                <w:color w:val="000000" w:themeColor="text1"/>
                <w:spacing w:val="6"/>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环境效益</w:t>
            </w:r>
          </w:p>
        </w:tc>
        <w:tc>
          <w:tcPr>
            <w:tcW w:w="4145" w:type="dxa"/>
            <w:tcBorders>
              <w:tl2br w:val="nil"/>
              <w:tr2bl w:val="nil"/>
            </w:tcBorders>
            <w:vAlign w:val="center"/>
          </w:tcPr>
          <w:p w14:paraId="6A5705BE">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由于采用成套设备，</w:t>
            </w:r>
            <w:r>
              <w:rPr>
                <w:rFonts w:hint="eastAsia" w:ascii="仿宋" w:hAnsi="仿宋" w:cs="仿宋"/>
                <w:color w:val="000000" w:themeColor="text1"/>
                <w:spacing w:val="8"/>
                <w:sz w:val="24"/>
                <w:szCs w:val="24"/>
                <w14:textFill>
                  <w14:solidFill>
                    <w14:schemeClr w14:val="tx1"/>
                  </w14:solidFill>
                </w14:textFill>
              </w:rPr>
              <w:t>对环境的影响较小</w:t>
            </w:r>
          </w:p>
        </w:tc>
        <w:tc>
          <w:tcPr>
            <w:tcW w:w="2858" w:type="dxa"/>
            <w:tcBorders>
              <w:tl2br w:val="nil"/>
              <w:tr2bl w:val="nil"/>
            </w:tcBorders>
            <w:vAlign w:val="center"/>
          </w:tcPr>
          <w:p w14:paraId="27843C38">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由于采用成套设备，对环境的影</w:t>
            </w:r>
            <w:r>
              <w:rPr>
                <w:rFonts w:hint="eastAsia" w:ascii="仿宋" w:hAnsi="仿宋" w:cs="仿宋"/>
                <w:color w:val="000000" w:themeColor="text1"/>
                <w:spacing w:val="3"/>
                <w:sz w:val="24"/>
                <w:szCs w:val="24"/>
                <w14:textFill>
                  <w14:solidFill>
                    <w14:schemeClr w14:val="tx1"/>
                  </w14:solidFill>
                </w14:textFill>
              </w:rPr>
              <w:t>响较小</w:t>
            </w:r>
          </w:p>
        </w:tc>
      </w:tr>
      <w:tr w14:paraId="56F2B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551" w:type="dxa"/>
            <w:tcBorders>
              <w:tl2br w:val="nil"/>
              <w:tr2bl w:val="nil"/>
            </w:tcBorders>
            <w:vAlign w:val="center"/>
          </w:tcPr>
          <w:p w14:paraId="00C8C529">
            <w:pPr>
              <w:spacing w:line="240" w:lineRule="auto"/>
              <w:rPr>
                <w:rFonts w:hint="eastAsia" w:ascii="仿宋" w:hAnsi="仿宋" w:cs="仿宋"/>
                <w:color w:val="000000" w:themeColor="text1"/>
                <w:spacing w:val="6"/>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单位运行成本</w:t>
            </w:r>
          </w:p>
        </w:tc>
        <w:tc>
          <w:tcPr>
            <w:tcW w:w="4145" w:type="dxa"/>
            <w:tcBorders>
              <w:tl2br w:val="nil"/>
              <w:tr2bl w:val="nil"/>
            </w:tcBorders>
            <w:vAlign w:val="center"/>
          </w:tcPr>
          <w:p w14:paraId="31406540">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较低</w:t>
            </w:r>
          </w:p>
        </w:tc>
        <w:tc>
          <w:tcPr>
            <w:tcW w:w="2858" w:type="dxa"/>
            <w:tcBorders>
              <w:tl2br w:val="nil"/>
              <w:tr2bl w:val="nil"/>
            </w:tcBorders>
            <w:vAlign w:val="center"/>
          </w:tcPr>
          <w:p w14:paraId="0E791A4D">
            <w:pPr>
              <w:spacing w:line="240" w:lineRule="auto"/>
              <w:rPr>
                <w:rFonts w:hint="eastAsia" w:ascii="仿宋" w:hAnsi="仿宋" w:cs="仿宋"/>
                <w:color w:val="000000" w:themeColor="text1"/>
                <w:spacing w:val="8"/>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高</w:t>
            </w:r>
          </w:p>
        </w:tc>
      </w:tr>
    </w:tbl>
    <w:p w14:paraId="3862837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从各方案的工艺特点、对水质波动的适应性、总投资以及单位运行成本等方面进行分析，并考虑各方案的环境效益、经济效益等综合因素，经过综合比选后认为方案一为优选推荐方案。其理由如下：</w:t>
      </w:r>
    </w:p>
    <w:p w14:paraId="3659C738">
      <w:pPr>
        <w:numPr>
          <w:ilvl w:val="0"/>
          <w:numId w:val="1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渗沥液先进行生化处理，该工艺具有较强的适应性和操作上的灵活性，可以适应不同时期的处理需要，经高效生化处理后的渗沥液进入MBR系统进行处理，出水达到设计排放标准。</w:t>
      </w:r>
    </w:p>
    <w:p w14:paraId="2D3C6D29">
      <w:pPr>
        <w:numPr>
          <w:ilvl w:val="0"/>
          <w:numId w:val="1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采用高效厌氧处理工艺，有机负荷高，抗冲击负荷能力强，进水水质对其影响较小，厌氧后出水有机物浓度大幅降低。</w:t>
      </w:r>
    </w:p>
    <w:p w14:paraId="0234921E">
      <w:pPr>
        <w:numPr>
          <w:ilvl w:val="0"/>
          <w:numId w:val="1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采用膜生物反应器（MBR）能高效地去除渗沥液中的氨氮。</w:t>
      </w:r>
    </w:p>
    <w:p w14:paraId="35D642AB">
      <w:pPr>
        <w:numPr>
          <w:ilvl w:val="0"/>
          <w:numId w:val="1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此工艺已有丰富的工程及运行经验，运行管理、设备配件供应及人员调配都可与现有工程配套进行。</w:t>
      </w:r>
    </w:p>
    <w:p w14:paraId="77C875AF">
      <w:pPr>
        <w:numPr>
          <w:ilvl w:val="0"/>
          <w:numId w:val="1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该方案投资较低，运行稳定，出水有保证，且可根据现有工程的经验通过一定的措施降低造价，此外本方案运行成本较低，在经济指标上具有较大的优越性。</w:t>
      </w:r>
    </w:p>
    <w:p w14:paraId="196306A6">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渗滤液处理产生的污泥用车拉到卸料大厅，倒入垃圾池指定区域，入炉焚烧。费用由项目公司承担。</w:t>
      </w:r>
    </w:p>
    <w:p w14:paraId="6057AA11">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区域公共实施条件</w:t>
      </w:r>
    </w:p>
    <w:p w14:paraId="1E2432C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（1）交通</w:t>
      </w:r>
    </w:p>
    <w:p w14:paraId="6DBDE08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南侧距G6京藏高速约0.5公里，距金属深加工园约3.1公里，西距包头西立交约8.7公里，东距昆都仑召站约3公里。</w:t>
      </w:r>
    </w:p>
    <w:p w14:paraId="285A7C4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（2）给水</w:t>
      </w:r>
    </w:p>
    <w:p w14:paraId="325E40F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本项目生产用水拟取用中水，距离西郊污水厂约10公里，生活用水取自市政自来水，自来水管线已经接到厂区边界。</w:t>
      </w:r>
    </w:p>
    <w:p w14:paraId="64EE9AF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（3）排水</w:t>
      </w:r>
    </w:p>
    <w:p w14:paraId="30BBFD2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渗沥液处理站出水达《城市污水再生利用 工业用水水质》（GB/T19923-2005）标准中循环水系统补水水质标准以及电力行业同类型中水用于循环冷却水系统补充水的相关水质指标后厂内回用。循环水排污水等工业废水经回收利用后，其余的排入工业废水处理站，处理后全部回用。</w:t>
      </w:r>
    </w:p>
    <w:p w14:paraId="36EA971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（4）供电通信</w:t>
      </w:r>
    </w:p>
    <w:p w14:paraId="60B2CE0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根据委托单位方反馈拟建厂址10公里处110kV电压等级并网，具体以接入系统设计方案为准。</w:t>
      </w:r>
    </w:p>
    <w:p w14:paraId="4696D4B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施工条件</w:t>
      </w:r>
    </w:p>
    <w:p w14:paraId="236C033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项目建设所需的主要材料如砖、水泥、河砂、石子、石灰、钢筋钢管等均可就地购买，由当地建材市场充足供应，可满足项目建设的需要。</w:t>
      </w:r>
    </w:p>
    <w:p w14:paraId="01C53E4A">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环境条件</w:t>
      </w:r>
    </w:p>
    <w:p w14:paraId="06F34B6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周边不存在环境敏感区和环境制约因素。本项目位于包头市生活垃圾处理中心现有地块，符合环境保护规划、生态功能区规划等，符合生活垃圾焚烧发电有关规划及规划环境影响评价要求。选址不属于自然保护区、风景名胜区、饮用水水源保护区和永久基本农田等国家及地方法律法规、标准、政策明确禁止污染类项目选址的区域。</w:t>
      </w:r>
    </w:p>
    <w:p w14:paraId="3EA0F3A2">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经济社会条件</w:t>
      </w:r>
    </w:p>
    <w:p w14:paraId="3FAF5B5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作为内蒙古自治区最大的工业城市，‌不仅是国务院批复确定的内蒙古自治区重要的经济中心，‌还是呼包鄂城市群中心城市之一和中国重要的工业基地。‌这座城市以其丰富的资源和独特的地理位置，‌实现了从战乱后的经济基础薄弱到成为远近闻名的树城、‌花城、‌园林城的转变，‌享有“塞外江南”的美誉。‌</w:t>
      </w:r>
    </w:p>
    <w:p w14:paraId="454F1C4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自新中国成立以来，‌包头市的经济经历了快速的发展。‌1952年，‌全市生产总值只有0.75亿元，‌人均生产总值仅为190元。‌然而，‌在改革开放后，‌特别是党的十八大以来，‌全市经济持续较快发展，‌至2023年，全年地区生产总值4263.9亿元，全年人均地区生产总值达到155050元。‌经济持续较快增长使得全市财政收入稳步增加，‌全市地方财政收入由1952年的374万元增至</w:t>
      </w:r>
      <w:r>
        <w:rPr>
          <w:rFonts w:hint="eastAsia"/>
          <w:color w:val="000000" w:themeColor="text1"/>
          <w:lang w:val="en-US" w:eastAsia="zh-CN"/>
          <w14:textFill>
            <w14:solidFill>
              <w14:schemeClr w14:val="tx1"/>
            </w14:solidFill>
          </w14:textFill>
        </w:rPr>
        <w:t>2013</w:t>
      </w:r>
      <w:r>
        <w:rPr>
          <w:rFonts w:hint="eastAsia"/>
          <w:color w:val="000000" w:themeColor="text1"/>
          <w14:textFill>
            <w14:solidFill>
              <w14:schemeClr w14:val="tx1"/>
            </w14:solidFill>
          </w14:textFill>
        </w:rPr>
        <w:t>年的</w:t>
      </w:r>
      <w:r>
        <w:rPr>
          <w:rFonts w:hint="eastAsia"/>
          <w:color w:val="000000" w:themeColor="text1"/>
          <w:lang w:val="en-US" w:eastAsia="zh-CN"/>
          <w14:textFill>
            <w14:solidFill>
              <w14:schemeClr w14:val="tx1"/>
            </w14:solidFill>
          </w14:textFill>
        </w:rPr>
        <w:t>185亿</w:t>
      </w:r>
      <w:r>
        <w:rPr>
          <w:rFonts w:hint="eastAsia"/>
          <w:color w:val="000000" w:themeColor="text1"/>
          <w14:textFill>
            <w14:solidFill>
              <w14:schemeClr w14:val="tx1"/>
            </w14:solidFill>
          </w14:textFill>
        </w:rPr>
        <w:t>元</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2013年以后不再公布</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年全市公共财政预算收入已达</w:t>
      </w:r>
      <w:r>
        <w:rPr>
          <w:rFonts w:hint="eastAsia"/>
          <w:color w:val="000000" w:themeColor="text1"/>
          <w:lang w:val="en-US" w:eastAsia="zh-CN"/>
          <w14:textFill>
            <w14:solidFill>
              <w14:schemeClr w14:val="tx1"/>
            </w14:solidFill>
          </w14:textFill>
        </w:rPr>
        <w:t>208.57</w:t>
      </w:r>
      <w:r>
        <w:rPr>
          <w:rFonts w:hint="eastAsia"/>
          <w:color w:val="000000" w:themeColor="text1"/>
          <w14:textFill>
            <w14:solidFill>
              <w14:schemeClr w14:val="tx1"/>
            </w14:solidFill>
          </w14:textFill>
        </w:rPr>
        <w:t>亿元。‌</w:t>
      </w:r>
    </w:p>
    <w:p w14:paraId="06FD82B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产业结构也经历了由“一三二”到“三二一”的转变升级，‌三次产业之间的比例关系由1952年的71.4:13.3:15.3调整为</w:t>
      </w:r>
      <w:r>
        <w:rPr>
          <w:rFonts w:hint="eastAsia"/>
          <w:color w:val="000000" w:themeColor="text1"/>
          <w:lang w:val="en-US" w:eastAsia="zh-CN"/>
          <w14:textFill>
            <w14:solidFill>
              <w14:schemeClr w14:val="tx1"/>
            </w14:solidFill>
          </w14:textFill>
        </w:rPr>
        <w:t>2022</w:t>
      </w:r>
      <w:r>
        <w:rPr>
          <w:rFonts w:hint="eastAsia"/>
          <w:color w:val="000000" w:themeColor="text1"/>
          <w14:textFill>
            <w14:solidFill>
              <w14:schemeClr w14:val="tx1"/>
            </w14:solidFill>
          </w14:textFill>
        </w:rPr>
        <w:t>年的</w:t>
      </w:r>
      <w:r>
        <w:rPr>
          <w:rFonts w:hint="eastAsia"/>
          <w:color w:val="000000" w:themeColor="text1"/>
          <w:lang w:val="en-US" w:eastAsia="zh-CN"/>
          <w14:textFill>
            <w14:solidFill>
              <w14:schemeClr w14:val="tx1"/>
            </w14:solidFill>
          </w14:textFill>
        </w:rPr>
        <w:t>35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52.7</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43.8</w:t>
      </w:r>
      <w:r>
        <w:rPr>
          <w:rFonts w:hint="eastAsia"/>
          <w:color w:val="000000" w:themeColor="text1"/>
          <w14:textFill>
            <w14:solidFill>
              <w14:schemeClr w14:val="tx1"/>
            </w14:solidFill>
          </w14:textFill>
        </w:rPr>
        <w:t>，‌显示了产业结构优化的显著成果。‌</w:t>
      </w:r>
    </w:p>
    <w:p w14:paraId="468BE6D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还通过全面深化经济体制改革，‌发展新质生产力，‌释放发展潜能，‌带动战新产业蓬勃发展。‌通过科技创新推动产业创新，‌走出一条生产要素投入少、‌资源配置效率高、‌资源环境成本低、‌经济社会效益好的新增长路径。‌</w:t>
      </w:r>
    </w:p>
    <w:p w14:paraId="0024A45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此外，‌包头市在餐饮文化方面也独具特色，‌拥有多家知名餐厅，‌提供正宗蒙餐、‌老包头味道、‌地道涮羊肉等，‌为游客提供了丰富的饮食选择，‌体验地道的地方菜肴和风味。‌</w:t>
      </w:r>
    </w:p>
    <w:p w14:paraId="18C0B72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综上所述，‌包头市以其工业基础、‌地理位置优势、‌经济结构的优化、‌科技创新和餐饮文化的多样性，‌展现了其作为内蒙古自治区重要经济中心的地位和潜力。</w:t>
      </w:r>
    </w:p>
    <w:p w14:paraId="173D1FA6">
      <w:pPr>
        <w:pStyle w:val="6"/>
        <w:numPr>
          <w:ilvl w:val="3"/>
          <w:numId w:val="14"/>
        </w:numPr>
        <w:spacing w:before="156" w:after="156"/>
        <w:outlineLvl w:val="2"/>
        <w:rPr>
          <w:color w:val="000000" w:themeColor="text1"/>
          <w14:textFill>
            <w14:solidFill>
              <w14:schemeClr w14:val="tx1"/>
            </w14:solidFill>
          </w14:textFill>
        </w:rPr>
      </w:pPr>
      <w:bookmarkStart w:id="142" w:name="_Toc1530"/>
      <w:bookmarkStart w:id="143" w:name="_Toc8507"/>
      <w:bookmarkStart w:id="144" w:name="_Toc10487"/>
      <w:r>
        <w:rPr>
          <w:color w:val="000000" w:themeColor="text1"/>
          <w14:textFill>
            <w14:solidFill>
              <w14:schemeClr w14:val="tx1"/>
            </w14:solidFill>
          </w14:textFill>
        </w:rPr>
        <w:t>主要建设内容及规模</w:t>
      </w:r>
      <w:bookmarkEnd w:id="142"/>
      <w:bookmarkEnd w:id="143"/>
    </w:p>
    <w:p w14:paraId="1EF3D9D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建设标准及目标</w:t>
      </w:r>
    </w:p>
    <w:p w14:paraId="0BF9630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处理工程项目建设标准是为了规范生活垃圾焚烧处理工程项目的建设和运营，保障环境和公共卫生安全，促进资源循环利用和减少对自然环境的影响而制定的标准。生活垃圾焚烧处理工程项目建设标准包括了项目选址、建设规模、设施设备、环保要求、运行管理等方面的要求。</w:t>
      </w:r>
    </w:p>
    <w:p w14:paraId="7958CD6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首先，在生活垃圾焚烧处理工程项目选址方面，本项目充分考虑到周边环境的影响，离居民区和水源地的距离，符合国家相关规定，且选址避免对当地生态环境造成不可逆转的影响。</w:t>
      </w:r>
    </w:p>
    <w:p w14:paraId="5ECD85D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其次，在建设规模方面，根据当地生活垃圾产生量和未来发展趋势进行科学规划，合理确定处理能力和设施规模，确保项目建成后能够有效满足当地生活垃圾处理需求。</w:t>
      </w:r>
    </w:p>
    <w:p w14:paraId="0D939E3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设施设备是生活垃圾焚烧处理工程项目的核心部分，选择符合国家标准和行业要求的焚烧炉、除尘设备、废气处理设施等设备，并保证其运行稳定、效率高、排放达标。</w:t>
      </w:r>
    </w:p>
    <w:p w14:paraId="7328433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在环保要求方面，生活垃圾焚烧处理工程项目严格执行国家和地方相关环保标准，确保废气、废水和固体废物的处理达到排放标准，最大限度减少对环境的影响。</w:t>
      </w:r>
    </w:p>
    <w:p w14:paraId="6AA6B1F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运行管理是生活垃圾焚烧处理工程项目的长期任务，项目建设单位建立健全运行管理制度，配备专业技术人员，定期进行设备检修和维护，保证项目长期稳定运行。</w:t>
      </w:r>
    </w:p>
    <w:p w14:paraId="180785F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总的来说，生活垃圾焚烧处理工程项目建设标准是为了规范生活垃圾处理工程项目的建设和运营，保障环境和公共卫生安全，促进资源循环利用和减少对自然环境的影响。项目建设单位应当严格按照标准要求进行规划、建设和运营管理，确保项目建成后能够有效满足当地生活垃圾处理需求，同时最大限度减少对环境的影响，实现可持续发展的目标。</w:t>
      </w:r>
    </w:p>
    <w:p w14:paraId="73AA1D27">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本项目目标是建造成一座具有国内一流、环境整洁优美的垃圾焚烧发电厂，做到环保、安全、稳定、高效。</w:t>
      </w:r>
    </w:p>
    <w:p w14:paraId="602D609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总体设计应使本垃圾焚烧发电厂综合技术水平、厂区环境达到国内一流、国际先进为目标，充分利用现有地形地貌，打造周边自然融合、环境协调新概念，采用技术先进、环保达标、安全卫生、运行可靠、经济合理设计理念。</w:t>
      </w:r>
    </w:p>
    <w:p w14:paraId="47E08C8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按照生活垃圾焚烧发电厂评价标准中的“AA”等级及垃圾焚烧达到无害化要求设计本项目。</w:t>
      </w:r>
    </w:p>
    <w:p w14:paraId="0C7CE06E">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垃圾产生量预测</w:t>
      </w:r>
    </w:p>
    <w:p w14:paraId="2DBAA252">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人均垃圾产生量法是将人口作为因变量，并通过人均垃圾产生量的发展变化对垃圾总产生量进行预测。生活垃圾的产生量通常与人口数有直接联系，城市人口是城市社会消费的主体，一座城市人口的拥有量及其增长速度与增长幅度，与生活垃圾的产生量和构成有着非常密切的关系。人口增加，消费量也必然增加，这样也就势必导致垃圾排放量增加；居民消费结构和消费水平的变化，对人均垃圾排放量也会产生直接影响。从理论上讲，从国内其它城市的实践经验来看，采用人口为基数预测生活垃圾的产生量可以得出比较符合实际情况的结果。人均量估算法的预测公式为：</w:t>
      </w:r>
    </w:p>
    <w:p w14:paraId="6BF1ECC4">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人均产生量法：Q=q·n</w:t>
      </w:r>
      <w:r>
        <w:rPr>
          <w:rFonts w:hint="eastAsia" w:ascii="仿宋" w:hAnsi="仿宋" w:cs="仿宋"/>
          <w:color w:val="000000" w:themeColor="text1"/>
          <w:szCs w:val="28"/>
          <w:lang w:val="en-US" w:eastAsia="zh-CN"/>
          <w14:textFill>
            <w14:solidFill>
              <w14:schemeClr w14:val="tx1"/>
            </w14:solidFill>
          </w14:textFill>
        </w:rPr>
        <w:t>/</w:t>
      </w:r>
      <w:r>
        <w:rPr>
          <w:rFonts w:hint="eastAsia" w:ascii="仿宋" w:hAnsi="仿宋" w:cs="仿宋"/>
          <w:color w:val="000000" w:themeColor="text1"/>
          <w:szCs w:val="28"/>
          <w14:textFill>
            <w14:solidFill>
              <w14:schemeClr w14:val="tx1"/>
            </w14:solidFill>
          </w14:textFill>
        </w:rPr>
        <w:t>10</w:t>
      </w:r>
    </w:p>
    <w:p w14:paraId="3B151842">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其中：Q---垃圾</w:t>
      </w:r>
      <w:r>
        <w:rPr>
          <w:rFonts w:hint="eastAsia" w:ascii="仿宋" w:hAnsi="仿宋" w:cs="仿宋"/>
          <w:color w:val="000000" w:themeColor="text1"/>
          <w:szCs w:val="28"/>
          <w:lang w:val="en-US" w:eastAsia="zh-CN"/>
          <w14:textFill>
            <w14:solidFill>
              <w14:schemeClr w14:val="tx1"/>
            </w14:solidFill>
          </w14:textFill>
        </w:rPr>
        <w:t>日</w:t>
      </w:r>
      <w:r>
        <w:rPr>
          <w:rFonts w:hint="eastAsia" w:ascii="仿宋" w:hAnsi="仿宋" w:cs="仿宋"/>
          <w:color w:val="000000" w:themeColor="text1"/>
          <w:szCs w:val="28"/>
          <w14:textFill>
            <w14:solidFill>
              <w14:schemeClr w14:val="tx1"/>
            </w14:solidFill>
          </w14:textFill>
        </w:rPr>
        <w:t>产生量，单位：t/d；</w:t>
      </w:r>
    </w:p>
    <w:p w14:paraId="33507BF6">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n---规划期服务人口，单位：万人；</w:t>
      </w:r>
    </w:p>
    <w:p w14:paraId="31B059FE">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q---生活垃圾人均日产生量，单位：千克/人·日。</w:t>
      </w:r>
    </w:p>
    <w:p w14:paraId="55794601">
      <w:pPr>
        <w:ind w:firstLine="556"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1"/>
          <w:szCs w:val="28"/>
          <w14:textFill>
            <w14:solidFill>
              <w14:schemeClr w14:val="tx1"/>
            </w14:solidFill>
          </w14:textFill>
        </w:rPr>
        <w:t>《包头市城镇环境卫生“十四五”规划》2021年06月中阐述：根</w:t>
      </w:r>
      <w:r>
        <w:rPr>
          <w:rFonts w:hint="eastAsia" w:ascii="仿宋" w:hAnsi="仿宋" w:cs="仿宋"/>
          <w:color w:val="000000" w:themeColor="text1"/>
          <w:spacing w:val="-2"/>
          <w:szCs w:val="28"/>
          <w14:textFill>
            <w14:solidFill>
              <w14:schemeClr w14:val="tx1"/>
            </w14:solidFill>
          </w14:textFill>
        </w:rPr>
        <w:t>据国家相关</w:t>
      </w:r>
      <w:r>
        <w:rPr>
          <w:rFonts w:hint="eastAsia" w:ascii="仿宋" w:hAnsi="仿宋" w:cs="仿宋"/>
          <w:color w:val="000000" w:themeColor="text1"/>
          <w:szCs w:val="28"/>
          <w14:textFill>
            <w14:solidFill>
              <w14:schemeClr w14:val="tx1"/>
            </w14:solidFill>
          </w14:textFill>
        </w:rPr>
        <w:t>政策及环保要求，以及当地提供的资料，最终确定</w:t>
      </w:r>
      <w:r>
        <w:rPr>
          <w:rFonts w:hint="eastAsia" w:ascii="仿宋" w:hAnsi="仿宋" w:cs="仿宋"/>
          <w:color w:val="000000" w:themeColor="text1"/>
          <w:spacing w:val="-1"/>
          <w:szCs w:val="28"/>
          <w14:textFill>
            <w14:solidFill>
              <w14:schemeClr w14:val="tx1"/>
            </w14:solidFill>
          </w14:textFill>
        </w:rPr>
        <w:t>2020年市五区中心城区的人</w:t>
      </w:r>
      <w:r>
        <w:rPr>
          <w:rFonts w:hint="eastAsia" w:ascii="仿宋" w:hAnsi="仿宋" w:cs="仿宋"/>
          <w:color w:val="000000" w:themeColor="text1"/>
          <w:spacing w:val="-5"/>
          <w:szCs w:val="28"/>
          <w14:textFill>
            <w14:solidFill>
              <w14:schemeClr w14:val="tx1"/>
            </w14:solidFill>
          </w14:textFill>
        </w:rPr>
        <w:t>均生活垃圾产生量取1.1kg/人·日，中心城区的农村牧区的人均生活垃圾产生量取</w:t>
      </w:r>
      <w:r>
        <w:rPr>
          <w:rFonts w:hint="eastAsia" w:ascii="仿宋" w:hAnsi="仿宋" w:cs="仿宋"/>
          <w:color w:val="000000" w:themeColor="text1"/>
          <w:spacing w:val="-1"/>
          <w:szCs w:val="28"/>
          <w14:textFill>
            <w14:solidFill>
              <w14:schemeClr w14:val="tx1"/>
            </w14:solidFill>
          </w14:textFill>
        </w:rPr>
        <w:t>0.9kg/人·日。2020年外五区中心城区的人均生活垃圾产生量取1.0kg/人·日，中</w:t>
      </w:r>
      <w:r>
        <w:rPr>
          <w:rFonts w:hint="eastAsia" w:ascii="仿宋" w:hAnsi="仿宋" w:cs="仿宋"/>
          <w:color w:val="000000" w:themeColor="text1"/>
          <w:spacing w:val="-3"/>
          <w:szCs w:val="28"/>
          <w14:textFill>
            <w14:solidFill>
              <w14:schemeClr w14:val="tx1"/>
            </w14:solidFill>
          </w14:textFill>
        </w:rPr>
        <w:t>心城区的农村牧区的人均生活垃圾产生量取0.7</w:t>
      </w:r>
      <w:r>
        <w:rPr>
          <w:rFonts w:hint="eastAsia" w:ascii="仿宋" w:hAnsi="仿宋" w:cs="仿宋"/>
          <w:color w:val="000000" w:themeColor="text1"/>
          <w:spacing w:val="-4"/>
          <w:szCs w:val="28"/>
          <w14:textFill>
            <w14:solidFill>
              <w14:schemeClr w14:val="tx1"/>
            </w14:solidFill>
          </w14:textFill>
        </w:rPr>
        <w:t>kg/人·日。计算出的生活垃圾预测</w:t>
      </w:r>
      <w:r>
        <w:rPr>
          <w:rFonts w:hint="eastAsia" w:ascii="仿宋" w:hAnsi="仿宋" w:cs="仿宋"/>
          <w:color w:val="000000" w:themeColor="text1"/>
          <w:spacing w:val="-3"/>
          <w:szCs w:val="28"/>
          <w14:textFill>
            <w14:solidFill>
              <w14:schemeClr w14:val="tx1"/>
            </w14:solidFill>
          </w14:textFill>
        </w:rPr>
        <w:t>量与实际清运量有所出入，收集量高于计算量时，为现状生活垃圾收集中混有部分建筑垃圾。收集量低于计算量时，为农村地区村民村委会在垃圾收运过程中有遗漏乱到现象，需加强监管。实际大部分地区生活垃圾清运率、无害化处理率均</w:t>
      </w:r>
      <w:r>
        <w:rPr>
          <w:rFonts w:hint="eastAsia" w:ascii="仿宋" w:hAnsi="仿宋" w:cs="仿宋"/>
          <w:color w:val="000000" w:themeColor="text1"/>
          <w:spacing w:val="-6"/>
          <w:szCs w:val="28"/>
          <w14:textFill>
            <w14:solidFill>
              <w14:schemeClr w14:val="tx1"/>
            </w14:solidFill>
          </w14:textFill>
        </w:rPr>
        <w:t>达到100%。</w:t>
      </w:r>
    </w:p>
    <w:p w14:paraId="287F8150">
      <w:pPr>
        <w:ind w:firstLine="548" w:firstLineChars="200"/>
        <w:rPr>
          <w:rFonts w:hint="eastAsia" w:ascii="仿宋" w:hAnsi="仿宋" w:cs="仿宋"/>
          <w:color w:val="000000" w:themeColor="text1"/>
          <w:spacing w:val="-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《包头市城镇环境卫生“十四五”规划》，规划的期限为2021年～2025年。</w:t>
      </w:r>
      <w:r>
        <w:rPr>
          <w:rFonts w:hint="eastAsia" w:ascii="仿宋" w:hAnsi="仿宋" w:cs="仿宋"/>
          <w:color w:val="000000" w:themeColor="text1"/>
          <w:spacing w:val="-1"/>
          <w:szCs w:val="28"/>
          <w14:textFill>
            <w14:solidFill>
              <w14:schemeClr w14:val="tx1"/>
            </w14:solidFill>
          </w14:textFill>
        </w:rPr>
        <w:t>至规划期末生活垃圾的产生量详见下表：</w:t>
      </w:r>
    </w:p>
    <w:p w14:paraId="6741A7EA">
      <w:pPr>
        <w:pStyle w:val="2"/>
        <w:rPr>
          <w:rFonts w:hint="eastAsia" w:ascii="仿宋" w:hAnsi="仿宋" w:cs="仿宋"/>
          <w:color w:val="000000" w:themeColor="text1"/>
          <w:spacing w:val="-1"/>
          <w:szCs w:val="28"/>
          <w14:textFill>
            <w14:solidFill>
              <w14:schemeClr w14:val="tx1"/>
            </w14:solidFill>
          </w14:textFill>
        </w:rPr>
      </w:pPr>
    </w:p>
    <w:p w14:paraId="517EA2FF">
      <w:pPr>
        <w:rPr>
          <w:rFonts w:hint="eastAsia"/>
        </w:rPr>
      </w:pPr>
    </w:p>
    <w:p w14:paraId="3E909196">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包头市各区生活垃圾产生量预测表</w:t>
      </w:r>
    </w:p>
    <w:tbl>
      <w:tblPr>
        <w:tblStyle w:val="52"/>
        <w:tblW w:w="85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2078"/>
        <w:gridCol w:w="922"/>
        <w:gridCol w:w="1711"/>
        <w:gridCol w:w="1911"/>
        <w:gridCol w:w="1251"/>
      </w:tblGrid>
      <w:tr w14:paraId="3F596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3" w:hRule="atLeast"/>
          <w:jc w:val="center"/>
        </w:trPr>
        <w:tc>
          <w:tcPr>
            <w:tcW w:w="682"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4B2DF1D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4"/>
                <w:sz w:val="24"/>
                <w:szCs w:val="24"/>
                <w14:textFill>
                  <w14:solidFill>
                    <w14:schemeClr w14:val="tx1"/>
                  </w14:solidFill>
                </w14:textFill>
              </w:rPr>
              <w:t>序号</w:t>
            </w:r>
          </w:p>
        </w:tc>
        <w:tc>
          <w:tcPr>
            <w:tcW w:w="2078"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3CA2E65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4"/>
                <w:sz w:val="24"/>
                <w:szCs w:val="24"/>
                <w14:textFill>
                  <w14:solidFill>
                    <w14:schemeClr w14:val="tx1"/>
                  </w14:solidFill>
                </w14:textFill>
              </w:rPr>
              <w:t>区名</w:t>
            </w:r>
          </w:p>
        </w:tc>
        <w:tc>
          <w:tcPr>
            <w:tcW w:w="922"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506ABA3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6"/>
                <w:sz w:val="24"/>
                <w:szCs w:val="24"/>
                <w14:textFill>
                  <w14:solidFill>
                    <w14:schemeClr w14:val="tx1"/>
                  </w14:solidFill>
                </w14:textFill>
              </w:rPr>
              <w:t>现状总人口</w:t>
            </w:r>
            <w:r>
              <w:rPr>
                <w:rFonts w:hint="default" w:ascii="Times New Roman" w:hAnsi="Times New Roman" w:eastAsia="仿宋" w:cs="Times New Roman"/>
                <w:b/>
                <w:bCs/>
                <w:color w:val="000000" w:themeColor="text1"/>
                <w:spacing w:val="1"/>
                <w:sz w:val="24"/>
                <w:szCs w:val="24"/>
                <w14:textFill>
                  <w14:solidFill>
                    <w14:schemeClr w14:val="tx1"/>
                  </w14:solidFill>
                </w14:textFill>
              </w:rPr>
              <w:t>（万人）</w:t>
            </w:r>
          </w:p>
        </w:tc>
        <w:tc>
          <w:tcPr>
            <w:tcW w:w="1711"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2977D04A">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6"/>
                <w:sz w:val="24"/>
                <w:szCs w:val="24"/>
                <w14:textFill>
                  <w14:solidFill>
                    <w14:schemeClr w14:val="tx1"/>
                  </w14:solidFill>
                </w14:textFill>
              </w:rPr>
              <w:t>人均生活垃</w:t>
            </w:r>
          </w:p>
          <w:p w14:paraId="747E72B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4"/>
                <w:sz w:val="24"/>
                <w:szCs w:val="24"/>
                <w14:textFill>
                  <w14:solidFill>
                    <w14:schemeClr w14:val="tx1"/>
                  </w14:solidFill>
                </w14:textFill>
              </w:rPr>
              <w:t>圾产生量（kg/</w:t>
            </w:r>
            <w:r>
              <w:rPr>
                <w:rFonts w:hint="default" w:ascii="Times New Roman" w:hAnsi="Times New Roman" w:eastAsia="仿宋" w:cs="Times New Roman"/>
                <w:b/>
                <w:bCs/>
                <w:color w:val="000000" w:themeColor="text1"/>
                <w:spacing w:val="1"/>
                <w:sz w:val="24"/>
                <w:szCs w:val="24"/>
                <w14:textFill>
                  <w14:solidFill>
                    <w14:schemeClr w14:val="tx1"/>
                  </w14:solidFill>
                </w14:textFill>
              </w:rPr>
              <w:t>人·日）</w:t>
            </w:r>
          </w:p>
        </w:tc>
        <w:tc>
          <w:tcPr>
            <w:tcW w:w="1911"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3203831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7"/>
                <w:sz w:val="24"/>
                <w:szCs w:val="24"/>
                <w14:textFill>
                  <w14:solidFill>
                    <w14:schemeClr w14:val="tx1"/>
                  </w14:solidFill>
                </w14:textFill>
              </w:rPr>
              <w:t>规划期末生活垃</w:t>
            </w:r>
          </w:p>
          <w:p w14:paraId="4BC7D9A6">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6"/>
                <w:sz w:val="24"/>
                <w:szCs w:val="24"/>
                <w14:textFill>
                  <w14:solidFill>
                    <w14:schemeClr w14:val="tx1"/>
                  </w14:solidFill>
                </w14:textFill>
              </w:rPr>
              <w:t>圾日产生量</w:t>
            </w:r>
          </w:p>
          <w:p w14:paraId="4CF5912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2"/>
                <w:sz w:val="24"/>
                <w:szCs w:val="24"/>
                <w14:textFill>
                  <w14:solidFill>
                    <w14:schemeClr w14:val="tx1"/>
                  </w14:solidFill>
                </w14:textFill>
              </w:rPr>
              <w:t>（t/d）</w:t>
            </w:r>
          </w:p>
        </w:tc>
        <w:tc>
          <w:tcPr>
            <w:tcW w:w="1251" w:type="dxa"/>
            <w:tcBorders>
              <w:top w:val="single" w:color="auto" w:sz="2" w:space="0"/>
              <w:left w:val="single" w:color="auto" w:sz="2" w:space="0"/>
              <w:bottom w:val="single" w:color="auto" w:sz="2" w:space="0"/>
              <w:right w:val="single" w:color="auto" w:sz="2" w:space="0"/>
            </w:tcBorders>
            <w:shd w:val="clear" w:color="auto" w:fill="BDD6EE" w:themeFill="accent1" w:themeFillTint="66"/>
            <w:vAlign w:val="center"/>
          </w:tcPr>
          <w:p w14:paraId="03CEECA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5"/>
                <w:sz w:val="24"/>
                <w:szCs w:val="24"/>
                <w14:textFill>
                  <w14:solidFill>
                    <w14:schemeClr w14:val="tx1"/>
                  </w14:solidFill>
                </w14:textFill>
              </w:rPr>
              <w:t>预测年产生量</w:t>
            </w:r>
          </w:p>
          <w:p w14:paraId="34586CF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b/>
                <w:bCs/>
                <w:color w:val="000000" w:themeColor="text1"/>
                <w:spacing w:val="1"/>
                <w:sz w:val="24"/>
                <w:szCs w:val="24"/>
                <w14:textFill>
                  <w14:solidFill>
                    <w14:schemeClr w14:val="tx1"/>
                  </w14:solidFill>
                </w14:textFill>
              </w:rPr>
              <w:t>（万吨）</w:t>
            </w:r>
          </w:p>
        </w:tc>
      </w:tr>
      <w:tr w14:paraId="179D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637CC5D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2078" w:type="dxa"/>
            <w:tcBorders>
              <w:top w:val="single" w:color="auto" w:sz="2" w:space="0"/>
              <w:left w:val="single" w:color="auto" w:sz="2" w:space="0"/>
              <w:bottom w:val="single" w:color="auto" w:sz="2" w:space="0"/>
              <w:right w:val="single" w:color="auto" w:sz="2" w:space="0"/>
            </w:tcBorders>
            <w:vAlign w:val="center"/>
          </w:tcPr>
          <w:p w14:paraId="44BFB4BC">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包头市</w:t>
            </w:r>
            <w:r>
              <w:rPr>
                <w:rFonts w:hint="default" w:ascii="Times New Roman" w:hAnsi="Times New Roman" w:eastAsia="仿宋" w:cs="Times New Roman"/>
                <w:color w:val="000000" w:themeColor="text1"/>
                <w:spacing w:val="-2"/>
                <w:sz w:val="24"/>
                <w:szCs w:val="24"/>
                <w14:textFill>
                  <w14:solidFill>
                    <w14:schemeClr w14:val="tx1"/>
                  </w14:solidFill>
                </w14:textFill>
              </w:rPr>
              <w:t>昆都仑</w:t>
            </w:r>
            <w:r>
              <w:rPr>
                <w:rFonts w:hint="default" w:ascii="Times New Roman" w:hAnsi="Times New Roman" w:eastAsia="仿宋" w:cs="Times New Roman"/>
                <w:color w:val="000000" w:themeColor="text1"/>
                <w:sz w:val="24"/>
                <w:szCs w:val="24"/>
                <w14:textFill>
                  <w14:solidFill>
                    <w14:schemeClr w14:val="tx1"/>
                  </w14:solidFill>
                </w14:textFill>
              </w:rPr>
              <w:t>区</w:t>
            </w:r>
          </w:p>
        </w:tc>
        <w:tc>
          <w:tcPr>
            <w:tcW w:w="922" w:type="dxa"/>
            <w:tcBorders>
              <w:top w:val="single" w:color="auto" w:sz="2" w:space="0"/>
              <w:left w:val="single" w:color="auto" w:sz="2" w:space="0"/>
              <w:bottom w:val="single" w:color="auto" w:sz="2" w:space="0"/>
              <w:right w:val="single" w:color="auto" w:sz="2" w:space="0"/>
            </w:tcBorders>
            <w:vAlign w:val="center"/>
          </w:tcPr>
          <w:p w14:paraId="0985570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79.5</w:t>
            </w:r>
          </w:p>
        </w:tc>
        <w:tc>
          <w:tcPr>
            <w:tcW w:w="1711" w:type="dxa"/>
            <w:tcBorders>
              <w:top w:val="single" w:color="auto" w:sz="2" w:space="0"/>
              <w:left w:val="single" w:color="auto" w:sz="2" w:space="0"/>
              <w:bottom w:val="single" w:color="auto" w:sz="2" w:space="0"/>
              <w:right w:val="single" w:color="auto" w:sz="2" w:space="0"/>
            </w:tcBorders>
            <w:vAlign w:val="center"/>
          </w:tcPr>
          <w:p w14:paraId="5B68935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55EA3F3C">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251" w:type="dxa"/>
            <w:tcBorders>
              <w:top w:val="single" w:color="auto" w:sz="2" w:space="0"/>
              <w:left w:val="single" w:color="auto" w:sz="2" w:space="0"/>
              <w:bottom w:val="single" w:color="auto" w:sz="2" w:space="0"/>
              <w:right w:val="single" w:color="auto" w:sz="2" w:space="0"/>
            </w:tcBorders>
            <w:vAlign w:val="center"/>
          </w:tcPr>
          <w:p w14:paraId="1688C29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30F02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10BE464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078" w:type="dxa"/>
            <w:tcBorders>
              <w:top w:val="single" w:color="auto" w:sz="2" w:space="0"/>
              <w:left w:val="single" w:color="auto" w:sz="2" w:space="0"/>
              <w:bottom w:val="single" w:color="auto" w:sz="2" w:space="0"/>
              <w:right w:val="single" w:color="auto" w:sz="2" w:space="0"/>
            </w:tcBorders>
            <w:vAlign w:val="center"/>
          </w:tcPr>
          <w:p w14:paraId="6E9A6E46">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昆区中</w:t>
            </w:r>
            <w:r>
              <w:rPr>
                <w:rFonts w:hint="default" w:ascii="Times New Roman" w:hAnsi="Times New Roman" w:eastAsia="仿宋" w:cs="Times New Roman"/>
                <w:color w:val="000000" w:themeColor="text1"/>
                <w:spacing w:val="4"/>
                <w:sz w:val="24"/>
                <w:szCs w:val="24"/>
                <w14:textFill>
                  <w14:solidFill>
                    <w14:schemeClr w14:val="tx1"/>
                  </w14:solidFill>
                </w14:textFill>
              </w:rPr>
              <w:t>心城区</w:t>
            </w:r>
          </w:p>
        </w:tc>
        <w:tc>
          <w:tcPr>
            <w:tcW w:w="922" w:type="dxa"/>
            <w:tcBorders>
              <w:top w:val="single" w:color="auto" w:sz="2" w:space="0"/>
              <w:left w:val="single" w:color="auto" w:sz="2" w:space="0"/>
              <w:bottom w:val="single" w:color="auto" w:sz="2" w:space="0"/>
              <w:right w:val="single" w:color="auto" w:sz="2" w:space="0"/>
            </w:tcBorders>
            <w:vAlign w:val="center"/>
          </w:tcPr>
          <w:p w14:paraId="35856FE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61.59</w:t>
            </w:r>
          </w:p>
        </w:tc>
        <w:tc>
          <w:tcPr>
            <w:tcW w:w="1711" w:type="dxa"/>
            <w:tcBorders>
              <w:top w:val="single" w:color="auto" w:sz="2" w:space="0"/>
              <w:left w:val="single" w:color="auto" w:sz="2" w:space="0"/>
              <w:bottom w:val="single" w:color="auto" w:sz="2" w:space="0"/>
              <w:right w:val="single" w:color="auto" w:sz="2" w:space="0"/>
            </w:tcBorders>
            <w:vAlign w:val="center"/>
          </w:tcPr>
          <w:p w14:paraId="5B22261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1.1</w:t>
            </w:r>
          </w:p>
        </w:tc>
        <w:tc>
          <w:tcPr>
            <w:tcW w:w="1911" w:type="dxa"/>
            <w:tcBorders>
              <w:top w:val="single" w:color="auto" w:sz="2" w:space="0"/>
              <w:left w:val="single" w:color="auto" w:sz="2" w:space="0"/>
              <w:bottom w:val="single" w:color="auto" w:sz="2" w:space="0"/>
              <w:right w:val="single" w:color="auto" w:sz="2" w:space="0"/>
            </w:tcBorders>
            <w:vAlign w:val="center"/>
          </w:tcPr>
          <w:p w14:paraId="481B226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677.49</w:t>
            </w:r>
          </w:p>
        </w:tc>
        <w:tc>
          <w:tcPr>
            <w:tcW w:w="1251" w:type="dxa"/>
            <w:tcBorders>
              <w:top w:val="single" w:color="auto" w:sz="2" w:space="0"/>
              <w:left w:val="single" w:color="auto" w:sz="2" w:space="0"/>
              <w:bottom w:val="single" w:color="auto" w:sz="2" w:space="0"/>
              <w:right w:val="single" w:color="auto" w:sz="2" w:space="0"/>
            </w:tcBorders>
            <w:vAlign w:val="center"/>
          </w:tcPr>
          <w:p w14:paraId="5403CD8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24.73</w:t>
            </w:r>
          </w:p>
        </w:tc>
      </w:tr>
      <w:tr w14:paraId="4469A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0796C00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078" w:type="dxa"/>
            <w:tcBorders>
              <w:top w:val="single" w:color="auto" w:sz="2" w:space="0"/>
              <w:left w:val="single" w:color="auto" w:sz="2" w:space="0"/>
              <w:bottom w:val="single" w:color="auto" w:sz="2" w:space="0"/>
              <w:right w:val="single" w:color="auto" w:sz="2" w:space="0"/>
            </w:tcBorders>
            <w:vAlign w:val="center"/>
          </w:tcPr>
          <w:p w14:paraId="3D51AE4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周边农村地区</w:t>
            </w:r>
          </w:p>
        </w:tc>
        <w:tc>
          <w:tcPr>
            <w:tcW w:w="922" w:type="dxa"/>
            <w:tcBorders>
              <w:top w:val="single" w:color="auto" w:sz="2" w:space="0"/>
              <w:left w:val="single" w:color="auto" w:sz="2" w:space="0"/>
              <w:bottom w:val="single" w:color="auto" w:sz="2" w:space="0"/>
              <w:right w:val="single" w:color="auto" w:sz="2" w:space="0"/>
            </w:tcBorders>
            <w:vAlign w:val="center"/>
          </w:tcPr>
          <w:p w14:paraId="0196A1B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17.91</w:t>
            </w:r>
          </w:p>
        </w:tc>
        <w:tc>
          <w:tcPr>
            <w:tcW w:w="1711" w:type="dxa"/>
            <w:tcBorders>
              <w:top w:val="single" w:color="auto" w:sz="2" w:space="0"/>
              <w:left w:val="single" w:color="auto" w:sz="2" w:space="0"/>
              <w:bottom w:val="single" w:color="auto" w:sz="2" w:space="0"/>
              <w:right w:val="single" w:color="auto" w:sz="2" w:space="0"/>
            </w:tcBorders>
            <w:vAlign w:val="center"/>
          </w:tcPr>
          <w:p w14:paraId="0AC5F85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0.9</w:t>
            </w:r>
          </w:p>
        </w:tc>
        <w:tc>
          <w:tcPr>
            <w:tcW w:w="1911" w:type="dxa"/>
            <w:tcBorders>
              <w:top w:val="single" w:color="auto" w:sz="2" w:space="0"/>
              <w:left w:val="single" w:color="auto" w:sz="2" w:space="0"/>
              <w:bottom w:val="single" w:color="auto" w:sz="2" w:space="0"/>
              <w:right w:val="single" w:color="auto" w:sz="2" w:space="0"/>
            </w:tcBorders>
            <w:vAlign w:val="center"/>
          </w:tcPr>
          <w:p w14:paraId="67D4F0C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161.29</w:t>
            </w:r>
          </w:p>
        </w:tc>
        <w:tc>
          <w:tcPr>
            <w:tcW w:w="1251" w:type="dxa"/>
            <w:tcBorders>
              <w:top w:val="single" w:color="auto" w:sz="2" w:space="0"/>
              <w:left w:val="single" w:color="auto" w:sz="2" w:space="0"/>
              <w:bottom w:val="single" w:color="auto" w:sz="2" w:space="0"/>
              <w:right w:val="single" w:color="auto" w:sz="2" w:space="0"/>
            </w:tcBorders>
            <w:vAlign w:val="center"/>
          </w:tcPr>
          <w:p w14:paraId="6F26F3F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5.89</w:t>
            </w:r>
          </w:p>
        </w:tc>
      </w:tr>
      <w:tr w14:paraId="643BB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239FC67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二</w:t>
            </w:r>
          </w:p>
        </w:tc>
        <w:tc>
          <w:tcPr>
            <w:tcW w:w="2078" w:type="dxa"/>
            <w:tcBorders>
              <w:top w:val="single" w:color="auto" w:sz="2" w:space="0"/>
              <w:left w:val="single" w:color="auto" w:sz="2" w:space="0"/>
              <w:bottom w:val="single" w:color="auto" w:sz="2" w:space="0"/>
              <w:right w:val="single" w:color="auto" w:sz="2" w:space="0"/>
            </w:tcBorders>
            <w:vAlign w:val="center"/>
          </w:tcPr>
          <w:p w14:paraId="438DA04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包头市青山区</w:t>
            </w:r>
          </w:p>
        </w:tc>
        <w:tc>
          <w:tcPr>
            <w:tcW w:w="922" w:type="dxa"/>
            <w:tcBorders>
              <w:top w:val="single" w:color="auto" w:sz="2" w:space="0"/>
              <w:left w:val="single" w:color="auto" w:sz="2" w:space="0"/>
              <w:bottom w:val="single" w:color="auto" w:sz="2" w:space="0"/>
              <w:right w:val="single" w:color="auto" w:sz="2" w:space="0"/>
            </w:tcBorders>
            <w:vAlign w:val="center"/>
          </w:tcPr>
          <w:p w14:paraId="2B4B27A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42.65</w:t>
            </w:r>
          </w:p>
        </w:tc>
        <w:tc>
          <w:tcPr>
            <w:tcW w:w="1711" w:type="dxa"/>
            <w:tcBorders>
              <w:top w:val="single" w:color="auto" w:sz="2" w:space="0"/>
              <w:left w:val="single" w:color="auto" w:sz="2" w:space="0"/>
              <w:bottom w:val="single" w:color="auto" w:sz="2" w:space="0"/>
              <w:right w:val="single" w:color="auto" w:sz="2" w:space="0"/>
            </w:tcBorders>
            <w:vAlign w:val="center"/>
          </w:tcPr>
          <w:p w14:paraId="7D3CF34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264ED5AC">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251" w:type="dxa"/>
            <w:tcBorders>
              <w:top w:val="single" w:color="auto" w:sz="2" w:space="0"/>
              <w:left w:val="single" w:color="auto" w:sz="2" w:space="0"/>
              <w:bottom w:val="single" w:color="auto" w:sz="2" w:space="0"/>
              <w:right w:val="single" w:color="auto" w:sz="2" w:space="0"/>
            </w:tcBorders>
            <w:vAlign w:val="center"/>
          </w:tcPr>
          <w:p w14:paraId="3967F556">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125D0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6162AF8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078" w:type="dxa"/>
            <w:tcBorders>
              <w:top w:val="single" w:color="auto" w:sz="2" w:space="0"/>
              <w:left w:val="single" w:color="auto" w:sz="2" w:space="0"/>
              <w:bottom w:val="single" w:color="auto" w:sz="2" w:space="0"/>
              <w:right w:val="single" w:color="auto" w:sz="2" w:space="0"/>
            </w:tcBorders>
            <w:vAlign w:val="center"/>
          </w:tcPr>
          <w:p w14:paraId="21F4F9C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青山中</w:t>
            </w:r>
            <w:r>
              <w:rPr>
                <w:rFonts w:hint="default" w:ascii="Times New Roman" w:hAnsi="Times New Roman" w:eastAsia="仿宋" w:cs="Times New Roman"/>
                <w:color w:val="000000" w:themeColor="text1"/>
                <w:spacing w:val="4"/>
                <w:sz w:val="24"/>
                <w:szCs w:val="24"/>
                <w14:textFill>
                  <w14:solidFill>
                    <w14:schemeClr w14:val="tx1"/>
                  </w14:solidFill>
                </w14:textFill>
              </w:rPr>
              <w:t>心城区</w:t>
            </w:r>
          </w:p>
        </w:tc>
        <w:tc>
          <w:tcPr>
            <w:tcW w:w="922" w:type="dxa"/>
            <w:tcBorders>
              <w:top w:val="single" w:color="auto" w:sz="2" w:space="0"/>
              <w:left w:val="single" w:color="auto" w:sz="2" w:space="0"/>
              <w:bottom w:val="single" w:color="auto" w:sz="2" w:space="0"/>
              <w:right w:val="single" w:color="auto" w:sz="2" w:space="0"/>
            </w:tcBorders>
            <w:vAlign w:val="center"/>
          </w:tcPr>
          <w:p w14:paraId="4E1F2D6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30.59</w:t>
            </w:r>
          </w:p>
        </w:tc>
        <w:tc>
          <w:tcPr>
            <w:tcW w:w="1711" w:type="dxa"/>
            <w:tcBorders>
              <w:top w:val="single" w:color="auto" w:sz="2" w:space="0"/>
              <w:left w:val="single" w:color="auto" w:sz="2" w:space="0"/>
              <w:bottom w:val="single" w:color="auto" w:sz="2" w:space="0"/>
              <w:right w:val="single" w:color="auto" w:sz="2" w:space="0"/>
            </w:tcBorders>
            <w:vAlign w:val="center"/>
          </w:tcPr>
          <w:p w14:paraId="1D1E51D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1.1</w:t>
            </w:r>
          </w:p>
        </w:tc>
        <w:tc>
          <w:tcPr>
            <w:tcW w:w="1911" w:type="dxa"/>
            <w:tcBorders>
              <w:top w:val="single" w:color="auto" w:sz="2" w:space="0"/>
              <w:left w:val="single" w:color="auto" w:sz="2" w:space="0"/>
              <w:bottom w:val="single" w:color="auto" w:sz="2" w:space="0"/>
              <w:right w:val="single" w:color="auto" w:sz="2" w:space="0"/>
            </w:tcBorders>
            <w:vAlign w:val="center"/>
          </w:tcPr>
          <w:p w14:paraId="2F3580A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336.416.42</w:t>
            </w:r>
          </w:p>
        </w:tc>
        <w:tc>
          <w:tcPr>
            <w:tcW w:w="1251" w:type="dxa"/>
            <w:tcBorders>
              <w:top w:val="single" w:color="auto" w:sz="2" w:space="0"/>
              <w:left w:val="single" w:color="auto" w:sz="2" w:space="0"/>
              <w:bottom w:val="single" w:color="auto" w:sz="2" w:space="0"/>
              <w:right w:val="single" w:color="auto" w:sz="2" w:space="0"/>
            </w:tcBorders>
            <w:vAlign w:val="center"/>
          </w:tcPr>
          <w:p w14:paraId="3294D28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12.28</w:t>
            </w:r>
          </w:p>
        </w:tc>
      </w:tr>
      <w:tr w14:paraId="29398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1521762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078" w:type="dxa"/>
            <w:tcBorders>
              <w:top w:val="single" w:color="auto" w:sz="2" w:space="0"/>
              <w:left w:val="single" w:color="auto" w:sz="2" w:space="0"/>
              <w:bottom w:val="single" w:color="auto" w:sz="2" w:space="0"/>
              <w:right w:val="single" w:color="auto" w:sz="2" w:space="0"/>
            </w:tcBorders>
            <w:vAlign w:val="center"/>
          </w:tcPr>
          <w:p w14:paraId="3FBDFDE6">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周边农村地区</w:t>
            </w:r>
          </w:p>
        </w:tc>
        <w:tc>
          <w:tcPr>
            <w:tcW w:w="922" w:type="dxa"/>
            <w:tcBorders>
              <w:top w:val="single" w:color="auto" w:sz="2" w:space="0"/>
              <w:left w:val="single" w:color="auto" w:sz="2" w:space="0"/>
              <w:bottom w:val="single" w:color="auto" w:sz="2" w:space="0"/>
              <w:right w:val="single" w:color="auto" w:sz="2" w:space="0"/>
            </w:tcBorders>
            <w:vAlign w:val="center"/>
          </w:tcPr>
          <w:p w14:paraId="76C22A9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12.06</w:t>
            </w:r>
          </w:p>
        </w:tc>
        <w:tc>
          <w:tcPr>
            <w:tcW w:w="1711" w:type="dxa"/>
            <w:tcBorders>
              <w:top w:val="single" w:color="auto" w:sz="2" w:space="0"/>
              <w:left w:val="single" w:color="auto" w:sz="2" w:space="0"/>
              <w:bottom w:val="single" w:color="auto" w:sz="2" w:space="0"/>
              <w:right w:val="single" w:color="auto" w:sz="2" w:space="0"/>
            </w:tcBorders>
            <w:vAlign w:val="center"/>
          </w:tcPr>
          <w:p w14:paraId="11E881A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0.9</w:t>
            </w:r>
          </w:p>
        </w:tc>
        <w:tc>
          <w:tcPr>
            <w:tcW w:w="1911" w:type="dxa"/>
            <w:tcBorders>
              <w:top w:val="single" w:color="auto" w:sz="2" w:space="0"/>
              <w:left w:val="single" w:color="auto" w:sz="2" w:space="0"/>
              <w:bottom w:val="single" w:color="auto" w:sz="2" w:space="0"/>
              <w:right w:val="single" w:color="auto" w:sz="2" w:space="0"/>
            </w:tcBorders>
            <w:vAlign w:val="center"/>
          </w:tcPr>
          <w:p w14:paraId="1FC2B05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108.54</w:t>
            </w:r>
          </w:p>
        </w:tc>
        <w:tc>
          <w:tcPr>
            <w:tcW w:w="1251" w:type="dxa"/>
            <w:tcBorders>
              <w:top w:val="single" w:color="auto" w:sz="2" w:space="0"/>
              <w:left w:val="single" w:color="auto" w:sz="2" w:space="0"/>
              <w:bottom w:val="single" w:color="auto" w:sz="2" w:space="0"/>
              <w:right w:val="single" w:color="auto" w:sz="2" w:space="0"/>
            </w:tcBorders>
            <w:vAlign w:val="center"/>
          </w:tcPr>
          <w:p w14:paraId="0AF30CAA">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3.96</w:t>
            </w:r>
          </w:p>
        </w:tc>
      </w:tr>
      <w:tr w14:paraId="6851D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1EB75B7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position w:val="1"/>
                <w:sz w:val="24"/>
                <w:szCs w:val="24"/>
                <w14:textFill>
                  <w14:solidFill>
                    <w14:schemeClr w14:val="tx1"/>
                  </w14:solidFill>
                </w14:textFill>
              </w:rPr>
              <w:t>三</w:t>
            </w:r>
          </w:p>
        </w:tc>
        <w:tc>
          <w:tcPr>
            <w:tcW w:w="2078" w:type="dxa"/>
            <w:tcBorders>
              <w:top w:val="single" w:color="auto" w:sz="2" w:space="0"/>
              <w:left w:val="single" w:color="auto" w:sz="2" w:space="0"/>
              <w:bottom w:val="single" w:color="auto" w:sz="2" w:space="0"/>
              <w:right w:val="single" w:color="auto" w:sz="2" w:space="0"/>
            </w:tcBorders>
            <w:vAlign w:val="center"/>
          </w:tcPr>
          <w:p w14:paraId="7B3C42E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包头市</w:t>
            </w:r>
            <w:r>
              <w:rPr>
                <w:rFonts w:hint="default" w:ascii="Times New Roman" w:hAnsi="Times New Roman" w:eastAsia="仿宋" w:cs="Times New Roman"/>
                <w:color w:val="000000" w:themeColor="text1"/>
                <w:spacing w:val="4"/>
                <w:sz w:val="24"/>
                <w:szCs w:val="24"/>
                <w14:textFill>
                  <w14:solidFill>
                    <w14:schemeClr w14:val="tx1"/>
                  </w14:solidFill>
                </w14:textFill>
              </w:rPr>
              <w:t>东河区</w:t>
            </w:r>
          </w:p>
        </w:tc>
        <w:tc>
          <w:tcPr>
            <w:tcW w:w="922" w:type="dxa"/>
            <w:tcBorders>
              <w:top w:val="single" w:color="auto" w:sz="2" w:space="0"/>
              <w:left w:val="single" w:color="auto" w:sz="2" w:space="0"/>
              <w:bottom w:val="single" w:color="auto" w:sz="2" w:space="0"/>
              <w:right w:val="single" w:color="auto" w:sz="2" w:space="0"/>
            </w:tcBorders>
            <w:vAlign w:val="center"/>
          </w:tcPr>
          <w:p w14:paraId="51DEDED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46.06</w:t>
            </w:r>
          </w:p>
        </w:tc>
        <w:tc>
          <w:tcPr>
            <w:tcW w:w="1711" w:type="dxa"/>
            <w:tcBorders>
              <w:top w:val="single" w:color="auto" w:sz="2" w:space="0"/>
              <w:left w:val="single" w:color="auto" w:sz="2" w:space="0"/>
              <w:bottom w:val="single" w:color="auto" w:sz="2" w:space="0"/>
              <w:right w:val="single" w:color="auto" w:sz="2" w:space="0"/>
            </w:tcBorders>
            <w:vAlign w:val="center"/>
          </w:tcPr>
          <w:p w14:paraId="6E170EE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05A3B45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251" w:type="dxa"/>
            <w:tcBorders>
              <w:top w:val="single" w:color="auto" w:sz="2" w:space="0"/>
              <w:left w:val="single" w:color="auto" w:sz="2" w:space="0"/>
              <w:bottom w:val="single" w:color="auto" w:sz="2" w:space="0"/>
              <w:right w:val="single" w:color="auto" w:sz="2" w:space="0"/>
            </w:tcBorders>
            <w:vAlign w:val="center"/>
          </w:tcPr>
          <w:p w14:paraId="744A7AB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700B6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2716BCB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078" w:type="dxa"/>
            <w:tcBorders>
              <w:top w:val="single" w:color="auto" w:sz="2" w:space="0"/>
              <w:left w:val="single" w:color="auto" w:sz="2" w:space="0"/>
              <w:bottom w:val="single" w:color="auto" w:sz="2" w:space="0"/>
              <w:right w:val="single" w:color="auto" w:sz="2" w:space="0"/>
            </w:tcBorders>
            <w:vAlign w:val="center"/>
          </w:tcPr>
          <w:p w14:paraId="2E53BB4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4"/>
                <w:sz w:val="24"/>
                <w:szCs w:val="24"/>
                <w14:textFill>
                  <w14:solidFill>
                    <w14:schemeClr w14:val="tx1"/>
                  </w14:solidFill>
                </w14:textFill>
              </w:rPr>
              <w:t>东河中心城区</w:t>
            </w:r>
          </w:p>
        </w:tc>
        <w:tc>
          <w:tcPr>
            <w:tcW w:w="922" w:type="dxa"/>
            <w:tcBorders>
              <w:top w:val="single" w:color="auto" w:sz="2" w:space="0"/>
              <w:left w:val="single" w:color="auto" w:sz="2" w:space="0"/>
              <w:bottom w:val="single" w:color="auto" w:sz="2" w:space="0"/>
              <w:right w:val="single" w:color="auto" w:sz="2" w:space="0"/>
            </w:tcBorders>
            <w:vAlign w:val="center"/>
          </w:tcPr>
          <w:p w14:paraId="5D43C4F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35.26</w:t>
            </w:r>
          </w:p>
        </w:tc>
        <w:tc>
          <w:tcPr>
            <w:tcW w:w="1711" w:type="dxa"/>
            <w:tcBorders>
              <w:top w:val="single" w:color="auto" w:sz="2" w:space="0"/>
              <w:left w:val="single" w:color="auto" w:sz="2" w:space="0"/>
              <w:bottom w:val="single" w:color="auto" w:sz="2" w:space="0"/>
              <w:right w:val="single" w:color="auto" w:sz="2" w:space="0"/>
            </w:tcBorders>
            <w:vAlign w:val="center"/>
          </w:tcPr>
          <w:p w14:paraId="0BE735F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1.1</w:t>
            </w:r>
          </w:p>
        </w:tc>
        <w:tc>
          <w:tcPr>
            <w:tcW w:w="1911" w:type="dxa"/>
            <w:tcBorders>
              <w:top w:val="single" w:color="auto" w:sz="2" w:space="0"/>
              <w:left w:val="single" w:color="auto" w:sz="2" w:space="0"/>
              <w:bottom w:val="single" w:color="auto" w:sz="2" w:space="0"/>
              <w:right w:val="single" w:color="auto" w:sz="2" w:space="0"/>
            </w:tcBorders>
            <w:vAlign w:val="center"/>
          </w:tcPr>
          <w:p w14:paraId="400DBAC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387.86</w:t>
            </w:r>
          </w:p>
        </w:tc>
        <w:tc>
          <w:tcPr>
            <w:tcW w:w="1251" w:type="dxa"/>
            <w:tcBorders>
              <w:top w:val="single" w:color="auto" w:sz="2" w:space="0"/>
              <w:left w:val="single" w:color="auto" w:sz="2" w:space="0"/>
              <w:bottom w:val="single" w:color="auto" w:sz="2" w:space="0"/>
              <w:right w:val="single" w:color="auto" w:sz="2" w:space="0"/>
            </w:tcBorders>
            <w:vAlign w:val="center"/>
          </w:tcPr>
          <w:p w14:paraId="69C2C4F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14.16</w:t>
            </w:r>
          </w:p>
        </w:tc>
      </w:tr>
      <w:tr w14:paraId="09ECE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7F9A965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078" w:type="dxa"/>
            <w:tcBorders>
              <w:top w:val="single" w:color="auto" w:sz="2" w:space="0"/>
              <w:left w:val="single" w:color="auto" w:sz="2" w:space="0"/>
              <w:bottom w:val="single" w:color="auto" w:sz="2" w:space="0"/>
              <w:right w:val="single" w:color="auto" w:sz="2" w:space="0"/>
            </w:tcBorders>
            <w:vAlign w:val="center"/>
          </w:tcPr>
          <w:p w14:paraId="68876A6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周边农村地区</w:t>
            </w:r>
          </w:p>
        </w:tc>
        <w:tc>
          <w:tcPr>
            <w:tcW w:w="922" w:type="dxa"/>
            <w:tcBorders>
              <w:top w:val="single" w:color="auto" w:sz="2" w:space="0"/>
              <w:left w:val="single" w:color="auto" w:sz="2" w:space="0"/>
              <w:bottom w:val="single" w:color="auto" w:sz="2" w:space="0"/>
              <w:right w:val="single" w:color="auto" w:sz="2" w:space="0"/>
            </w:tcBorders>
            <w:vAlign w:val="center"/>
          </w:tcPr>
          <w:p w14:paraId="2E095AD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10.8</w:t>
            </w:r>
          </w:p>
        </w:tc>
        <w:tc>
          <w:tcPr>
            <w:tcW w:w="1711" w:type="dxa"/>
            <w:tcBorders>
              <w:top w:val="single" w:color="auto" w:sz="2" w:space="0"/>
              <w:left w:val="single" w:color="auto" w:sz="2" w:space="0"/>
              <w:bottom w:val="single" w:color="auto" w:sz="2" w:space="0"/>
              <w:right w:val="single" w:color="auto" w:sz="2" w:space="0"/>
            </w:tcBorders>
            <w:vAlign w:val="center"/>
          </w:tcPr>
          <w:p w14:paraId="37EFB6A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0.9</w:t>
            </w:r>
          </w:p>
        </w:tc>
        <w:tc>
          <w:tcPr>
            <w:tcW w:w="1911" w:type="dxa"/>
            <w:tcBorders>
              <w:top w:val="single" w:color="auto" w:sz="2" w:space="0"/>
              <w:left w:val="single" w:color="auto" w:sz="2" w:space="0"/>
              <w:bottom w:val="single" w:color="auto" w:sz="2" w:space="0"/>
              <w:right w:val="single" w:color="auto" w:sz="2" w:space="0"/>
            </w:tcBorders>
            <w:vAlign w:val="center"/>
          </w:tcPr>
          <w:p w14:paraId="023E69B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97.26</w:t>
            </w:r>
          </w:p>
        </w:tc>
        <w:tc>
          <w:tcPr>
            <w:tcW w:w="1251" w:type="dxa"/>
            <w:tcBorders>
              <w:top w:val="single" w:color="auto" w:sz="2" w:space="0"/>
              <w:left w:val="single" w:color="auto" w:sz="2" w:space="0"/>
              <w:bottom w:val="single" w:color="auto" w:sz="2" w:space="0"/>
              <w:right w:val="single" w:color="auto" w:sz="2" w:space="0"/>
            </w:tcBorders>
            <w:vAlign w:val="center"/>
          </w:tcPr>
          <w:p w14:paraId="2F69D3B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3.55</w:t>
            </w:r>
          </w:p>
        </w:tc>
      </w:tr>
      <w:tr w14:paraId="5BCE0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5F5DA87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四</w:t>
            </w:r>
          </w:p>
        </w:tc>
        <w:tc>
          <w:tcPr>
            <w:tcW w:w="2078" w:type="dxa"/>
            <w:tcBorders>
              <w:top w:val="single" w:color="auto" w:sz="2" w:space="0"/>
              <w:left w:val="single" w:color="auto" w:sz="2" w:space="0"/>
              <w:bottom w:val="single" w:color="auto" w:sz="2" w:space="0"/>
              <w:right w:val="single" w:color="auto" w:sz="2" w:space="0"/>
            </w:tcBorders>
            <w:vAlign w:val="center"/>
          </w:tcPr>
          <w:p w14:paraId="2714124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5"/>
                <w:sz w:val="24"/>
                <w:szCs w:val="24"/>
                <w14:textFill>
                  <w14:solidFill>
                    <w14:schemeClr w14:val="tx1"/>
                  </w14:solidFill>
                </w14:textFill>
              </w:rPr>
              <w:t>九原区</w:t>
            </w:r>
          </w:p>
        </w:tc>
        <w:tc>
          <w:tcPr>
            <w:tcW w:w="922" w:type="dxa"/>
            <w:tcBorders>
              <w:top w:val="single" w:color="auto" w:sz="2" w:space="0"/>
              <w:left w:val="single" w:color="auto" w:sz="2" w:space="0"/>
              <w:bottom w:val="single" w:color="auto" w:sz="2" w:space="0"/>
              <w:right w:val="single" w:color="auto" w:sz="2" w:space="0"/>
            </w:tcBorders>
            <w:vAlign w:val="center"/>
          </w:tcPr>
          <w:p w14:paraId="480EFB9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17.94</w:t>
            </w:r>
          </w:p>
        </w:tc>
        <w:tc>
          <w:tcPr>
            <w:tcW w:w="1711" w:type="dxa"/>
            <w:tcBorders>
              <w:top w:val="single" w:color="auto" w:sz="2" w:space="0"/>
              <w:left w:val="single" w:color="auto" w:sz="2" w:space="0"/>
              <w:bottom w:val="single" w:color="auto" w:sz="2" w:space="0"/>
              <w:right w:val="single" w:color="auto" w:sz="2" w:space="0"/>
            </w:tcBorders>
            <w:vAlign w:val="center"/>
          </w:tcPr>
          <w:p w14:paraId="01D6FE7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2FEBF11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251" w:type="dxa"/>
            <w:tcBorders>
              <w:top w:val="single" w:color="auto" w:sz="2" w:space="0"/>
              <w:left w:val="single" w:color="auto" w:sz="2" w:space="0"/>
              <w:bottom w:val="single" w:color="auto" w:sz="2" w:space="0"/>
              <w:right w:val="single" w:color="auto" w:sz="2" w:space="0"/>
            </w:tcBorders>
            <w:vAlign w:val="center"/>
          </w:tcPr>
          <w:p w14:paraId="098C05FA">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70A64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0A256DA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078" w:type="dxa"/>
            <w:tcBorders>
              <w:top w:val="single" w:color="auto" w:sz="2" w:space="0"/>
              <w:left w:val="single" w:color="auto" w:sz="2" w:space="0"/>
              <w:bottom w:val="single" w:color="auto" w:sz="2" w:space="0"/>
              <w:right w:val="single" w:color="auto" w:sz="2" w:space="0"/>
            </w:tcBorders>
            <w:vAlign w:val="center"/>
          </w:tcPr>
          <w:p w14:paraId="58EC5A6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5"/>
                <w:sz w:val="24"/>
                <w:szCs w:val="24"/>
                <w14:textFill>
                  <w14:solidFill>
                    <w14:schemeClr w14:val="tx1"/>
                  </w14:solidFill>
                </w14:textFill>
              </w:rPr>
              <w:t>九原中</w:t>
            </w:r>
            <w:r>
              <w:rPr>
                <w:rFonts w:hint="default" w:ascii="Times New Roman" w:hAnsi="Times New Roman" w:eastAsia="仿宋" w:cs="Times New Roman"/>
                <w:color w:val="000000" w:themeColor="text1"/>
                <w:spacing w:val="4"/>
                <w:sz w:val="24"/>
                <w:szCs w:val="24"/>
                <w14:textFill>
                  <w14:solidFill>
                    <w14:schemeClr w14:val="tx1"/>
                  </w14:solidFill>
                </w14:textFill>
              </w:rPr>
              <w:t>心城区</w:t>
            </w:r>
          </w:p>
        </w:tc>
        <w:tc>
          <w:tcPr>
            <w:tcW w:w="922" w:type="dxa"/>
            <w:tcBorders>
              <w:top w:val="single" w:color="auto" w:sz="2" w:space="0"/>
              <w:left w:val="single" w:color="auto" w:sz="2" w:space="0"/>
              <w:bottom w:val="single" w:color="auto" w:sz="2" w:space="0"/>
              <w:right w:val="single" w:color="auto" w:sz="2" w:space="0"/>
            </w:tcBorders>
            <w:vAlign w:val="center"/>
          </w:tcPr>
          <w:p w14:paraId="7E55579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11.55</w:t>
            </w:r>
          </w:p>
        </w:tc>
        <w:tc>
          <w:tcPr>
            <w:tcW w:w="1711" w:type="dxa"/>
            <w:tcBorders>
              <w:top w:val="single" w:color="auto" w:sz="2" w:space="0"/>
              <w:left w:val="single" w:color="auto" w:sz="2" w:space="0"/>
              <w:bottom w:val="single" w:color="auto" w:sz="2" w:space="0"/>
              <w:right w:val="single" w:color="auto" w:sz="2" w:space="0"/>
            </w:tcBorders>
            <w:vAlign w:val="center"/>
          </w:tcPr>
          <w:p w14:paraId="2B0D455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1.1</w:t>
            </w:r>
          </w:p>
        </w:tc>
        <w:tc>
          <w:tcPr>
            <w:tcW w:w="1911" w:type="dxa"/>
            <w:tcBorders>
              <w:top w:val="single" w:color="auto" w:sz="2" w:space="0"/>
              <w:left w:val="single" w:color="auto" w:sz="2" w:space="0"/>
              <w:bottom w:val="single" w:color="auto" w:sz="2" w:space="0"/>
              <w:right w:val="single" w:color="auto" w:sz="2" w:space="0"/>
            </w:tcBorders>
            <w:vAlign w:val="center"/>
          </w:tcPr>
          <w:p w14:paraId="37292724">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127.05</w:t>
            </w:r>
          </w:p>
        </w:tc>
        <w:tc>
          <w:tcPr>
            <w:tcW w:w="1251" w:type="dxa"/>
            <w:tcBorders>
              <w:top w:val="single" w:color="auto" w:sz="2" w:space="0"/>
              <w:left w:val="single" w:color="auto" w:sz="2" w:space="0"/>
              <w:bottom w:val="single" w:color="auto" w:sz="2" w:space="0"/>
              <w:right w:val="single" w:color="auto" w:sz="2" w:space="0"/>
            </w:tcBorders>
            <w:vAlign w:val="center"/>
          </w:tcPr>
          <w:p w14:paraId="40CF6D7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4.64</w:t>
            </w:r>
          </w:p>
        </w:tc>
      </w:tr>
      <w:tr w14:paraId="60E24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3623A63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078" w:type="dxa"/>
            <w:tcBorders>
              <w:top w:val="single" w:color="auto" w:sz="2" w:space="0"/>
              <w:left w:val="single" w:color="auto" w:sz="2" w:space="0"/>
              <w:bottom w:val="single" w:color="auto" w:sz="2" w:space="0"/>
              <w:right w:val="single" w:color="auto" w:sz="2" w:space="0"/>
            </w:tcBorders>
            <w:vAlign w:val="center"/>
          </w:tcPr>
          <w:p w14:paraId="10AD9EB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周边农村地区</w:t>
            </w:r>
          </w:p>
        </w:tc>
        <w:tc>
          <w:tcPr>
            <w:tcW w:w="922" w:type="dxa"/>
            <w:tcBorders>
              <w:top w:val="single" w:color="auto" w:sz="2" w:space="0"/>
              <w:left w:val="single" w:color="auto" w:sz="2" w:space="0"/>
              <w:bottom w:val="single" w:color="auto" w:sz="2" w:space="0"/>
              <w:right w:val="single" w:color="auto" w:sz="2" w:space="0"/>
            </w:tcBorders>
            <w:vAlign w:val="center"/>
          </w:tcPr>
          <w:p w14:paraId="6FAEDEE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6.39</w:t>
            </w:r>
          </w:p>
        </w:tc>
        <w:tc>
          <w:tcPr>
            <w:tcW w:w="1711" w:type="dxa"/>
            <w:tcBorders>
              <w:top w:val="single" w:color="auto" w:sz="2" w:space="0"/>
              <w:left w:val="single" w:color="auto" w:sz="2" w:space="0"/>
              <w:bottom w:val="single" w:color="auto" w:sz="2" w:space="0"/>
              <w:right w:val="single" w:color="auto" w:sz="2" w:space="0"/>
            </w:tcBorders>
            <w:vAlign w:val="center"/>
          </w:tcPr>
          <w:p w14:paraId="22A9E02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0.9</w:t>
            </w:r>
          </w:p>
        </w:tc>
        <w:tc>
          <w:tcPr>
            <w:tcW w:w="1911" w:type="dxa"/>
            <w:tcBorders>
              <w:top w:val="single" w:color="auto" w:sz="2" w:space="0"/>
              <w:left w:val="single" w:color="auto" w:sz="2" w:space="0"/>
              <w:bottom w:val="single" w:color="auto" w:sz="2" w:space="0"/>
              <w:right w:val="single" w:color="auto" w:sz="2" w:space="0"/>
            </w:tcBorders>
            <w:vAlign w:val="center"/>
          </w:tcPr>
          <w:p w14:paraId="6A09978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57.51</w:t>
            </w:r>
          </w:p>
        </w:tc>
        <w:tc>
          <w:tcPr>
            <w:tcW w:w="1251" w:type="dxa"/>
            <w:tcBorders>
              <w:top w:val="single" w:color="auto" w:sz="2" w:space="0"/>
              <w:left w:val="single" w:color="auto" w:sz="2" w:space="0"/>
              <w:bottom w:val="single" w:color="auto" w:sz="2" w:space="0"/>
              <w:right w:val="single" w:color="auto" w:sz="2" w:space="0"/>
            </w:tcBorders>
            <w:vAlign w:val="center"/>
          </w:tcPr>
          <w:p w14:paraId="0D0701F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2.1</w:t>
            </w:r>
          </w:p>
        </w:tc>
      </w:tr>
      <w:tr w14:paraId="2CD4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63486EF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五</w:t>
            </w:r>
          </w:p>
        </w:tc>
        <w:tc>
          <w:tcPr>
            <w:tcW w:w="2078" w:type="dxa"/>
            <w:tcBorders>
              <w:top w:val="single" w:color="auto" w:sz="2" w:space="0"/>
              <w:left w:val="single" w:color="auto" w:sz="2" w:space="0"/>
              <w:bottom w:val="single" w:color="auto" w:sz="2" w:space="0"/>
              <w:right w:val="single" w:color="auto" w:sz="2" w:space="0"/>
            </w:tcBorders>
            <w:vAlign w:val="center"/>
          </w:tcPr>
          <w:p w14:paraId="6CD5FBE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7"/>
                <w:sz w:val="24"/>
                <w:szCs w:val="24"/>
                <w14:textFill>
                  <w14:solidFill>
                    <w14:schemeClr w14:val="tx1"/>
                  </w14:solidFill>
                </w14:textFill>
              </w:rPr>
              <w:t>稀土高</w:t>
            </w:r>
            <w:r>
              <w:rPr>
                <w:rFonts w:hint="default" w:ascii="Times New Roman" w:hAnsi="Times New Roman" w:eastAsia="仿宋" w:cs="Times New Roman"/>
                <w:color w:val="000000" w:themeColor="text1"/>
                <w:spacing w:val="4"/>
                <w:sz w:val="24"/>
                <w:szCs w:val="24"/>
                <w14:textFill>
                  <w14:solidFill>
                    <w14:schemeClr w14:val="tx1"/>
                  </w14:solidFill>
                </w14:textFill>
              </w:rPr>
              <w:t>新区</w:t>
            </w:r>
          </w:p>
        </w:tc>
        <w:tc>
          <w:tcPr>
            <w:tcW w:w="922" w:type="dxa"/>
            <w:tcBorders>
              <w:top w:val="single" w:color="auto" w:sz="2" w:space="0"/>
              <w:left w:val="single" w:color="auto" w:sz="2" w:space="0"/>
              <w:bottom w:val="single" w:color="auto" w:sz="2" w:space="0"/>
              <w:right w:val="single" w:color="auto" w:sz="2" w:space="0"/>
            </w:tcBorders>
            <w:vAlign w:val="center"/>
          </w:tcPr>
          <w:p w14:paraId="682CD42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10.75</w:t>
            </w:r>
          </w:p>
        </w:tc>
        <w:tc>
          <w:tcPr>
            <w:tcW w:w="1711" w:type="dxa"/>
            <w:tcBorders>
              <w:top w:val="single" w:color="auto" w:sz="2" w:space="0"/>
              <w:left w:val="single" w:color="auto" w:sz="2" w:space="0"/>
              <w:bottom w:val="single" w:color="auto" w:sz="2" w:space="0"/>
              <w:right w:val="single" w:color="auto" w:sz="2" w:space="0"/>
            </w:tcBorders>
            <w:vAlign w:val="center"/>
          </w:tcPr>
          <w:p w14:paraId="1AD2FDB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1.1</w:t>
            </w:r>
          </w:p>
        </w:tc>
        <w:tc>
          <w:tcPr>
            <w:tcW w:w="1911" w:type="dxa"/>
            <w:tcBorders>
              <w:top w:val="single" w:color="auto" w:sz="2" w:space="0"/>
              <w:left w:val="single" w:color="auto" w:sz="2" w:space="0"/>
              <w:bottom w:val="single" w:color="auto" w:sz="2" w:space="0"/>
              <w:right w:val="single" w:color="auto" w:sz="2" w:space="0"/>
            </w:tcBorders>
            <w:vAlign w:val="center"/>
          </w:tcPr>
          <w:p w14:paraId="2B5AFA8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117.295</w:t>
            </w:r>
          </w:p>
        </w:tc>
        <w:tc>
          <w:tcPr>
            <w:tcW w:w="1251" w:type="dxa"/>
            <w:tcBorders>
              <w:top w:val="single" w:color="auto" w:sz="2" w:space="0"/>
              <w:left w:val="single" w:color="auto" w:sz="2" w:space="0"/>
              <w:bottom w:val="single" w:color="auto" w:sz="2" w:space="0"/>
              <w:right w:val="single" w:color="auto" w:sz="2" w:space="0"/>
            </w:tcBorders>
            <w:vAlign w:val="center"/>
          </w:tcPr>
          <w:p w14:paraId="5C4A636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4.32</w:t>
            </w:r>
          </w:p>
        </w:tc>
      </w:tr>
      <w:tr w14:paraId="2E46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7511249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六</w:t>
            </w:r>
          </w:p>
        </w:tc>
        <w:tc>
          <w:tcPr>
            <w:tcW w:w="2078" w:type="dxa"/>
            <w:tcBorders>
              <w:top w:val="single" w:color="auto" w:sz="2" w:space="0"/>
              <w:left w:val="single" w:color="auto" w:sz="2" w:space="0"/>
              <w:bottom w:val="single" w:color="auto" w:sz="2" w:space="0"/>
              <w:right w:val="single" w:color="auto" w:sz="2" w:space="0"/>
            </w:tcBorders>
            <w:vAlign w:val="center"/>
          </w:tcPr>
          <w:p w14:paraId="2DB5FF0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石拐区</w:t>
            </w:r>
          </w:p>
        </w:tc>
        <w:tc>
          <w:tcPr>
            <w:tcW w:w="922" w:type="dxa"/>
            <w:tcBorders>
              <w:top w:val="single" w:color="auto" w:sz="2" w:space="0"/>
              <w:left w:val="single" w:color="auto" w:sz="2" w:space="0"/>
              <w:bottom w:val="single" w:color="auto" w:sz="2" w:space="0"/>
              <w:right w:val="single" w:color="auto" w:sz="2" w:space="0"/>
            </w:tcBorders>
            <w:vAlign w:val="center"/>
          </w:tcPr>
          <w:p w14:paraId="3A04F2A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3.83</w:t>
            </w:r>
          </w:p>
        </w:tc>
        <w:tc>
          <w:tcPr>
            <w:tcW w:w="1711" w:type="dxa"/>
            <w:tcBorders>
              <w:top w:val="single" w:color="auto" w:sz="2" w:space="0"/>
              <w:left w:val="single" w:color="auto" w:sz="2" w:space="0"/>
              <w:bottom w:val="single" w:color="auto" w:sz="2" w:space="0"/>
              <w:right w:val="single" w:color="auto" w:sz="2" w:space="0"/>
            </w:tcBorders>
            <w:vAlign w:val="center"/>
          </w:tcPr>
          <w:p w14:paraId="6ADCCA7A">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335088C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251" w:type="dxa"/>
            <w:tcBorders>
              <w:top w:val="single" w:color="auto" w:sz="2" w:space="0"/>
              <w:left w:val="single" w:color="auto" w:sz="2" w:space="0"/>
              <w:bottom w:val="single" w:color="auto" w:sz="2" w:space="0"/>
              <w:right w:val="single" w:color="auto" w:sz="2" w:space="0"/>
            </w:tcBorders>
            <w:vAlign w:val="center"/>
          </w:tcPr>
          <w:p w14:paraId="339D22A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r>
      <w:tr w14:paraId="434EF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528CAED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w:t>
            </w:r>
          </w:p>
        </w:tc>
        <w:tc>
          <w:tcPr>
            <w:tcW w:w="2078" w:type="dxa"/>
            <w:tcBorders>
              <w:top w:val="single" w:color="auto" w:sz="2" w:space="0"/>
              <w:left w:val="single" w:color="auto" w:sz="2" w:space="0"/>
              <w:bottom w:val="single" w:color="auto" w:sz="2" w:space="0"/>
              <w:right w:val="single" w:color="auto" w:sz="2" w:space="0"/>
            </w:tcBorders>
            <w:vAlign w:val="center"/>
          </w:tcPr>
          <w:p w14:paraId="7A1D2C3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石拐中</w:t>
            </w:r>
            <w:r>
              <w:rPr>
                <w:rFonts w:hint="default" w:ascii="Times New Roman" w:hAnsi="Times New Roman" w:eastAsia="仿宋" w:cs="Times New Roman"/>
                <w:color w:val="000000" w:themeColor="text1"/>
                <w:spacing w:val="4"/>
                <w:sz w:val="24"/>
                <w:szCs w:val="24"/>
                <w14:textFill>
                  <w14:solidFill>
                    <w14:schemeClr w14:val="tx1"/>
                  </w14:solidFill>
                </w14:textFill>
              </w:rPr>
              <w:t>心城区</w:t>
            </w:r>
          </w:p>
        </w:tc>
        <w:tc>
          <w:tcPr>
            <w:tcW w:w="922" w:type="dxa"/>
            <w:tcBorders>
              <w:top w:val="single" w:color="auto" w:sz="2" w:space="0"/>
              <w:left w:val="single" w:color="auto" w:sz="2" w:space="0"/>
              <w:bottom w:val="single" w:color="auto" w:sz="2" w:space="0"/>
              <w:right w:val="single" w:color="auto" w:sz="2" w:space="0"/>
            </w:tcBorders>
            <w:vAlign w:val="center"/>
          </w:tcPr>
          <w:p w14:paraId="4C37768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2.88</w:t>
            </w:r>
          </w:p>
        </w:tc>
        <w:tc>
          <w:tcPr>
            <w:tcW w:w="1711" w:type="dxa"/>
            <w:tcBorders>
              <w:top w:val="single" w:color="auto" w:sz="2" w:space="0"/>
              <w:left w:val="single" w:color="auto" w:sz="2" w:space="0"/>
              <w:bottom w:val="single" w:color="auto" w:sz="2" w:space="0"/>
              <w:right w:val="single" w:color="auto" w:sz="2" w:space="0"/>
            </w:tcBorders>
            <w:vAlign w:val="center"/>
          </w:tcPr>
          <w:p w14:paraId="06CB0CD0">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1.0</w:t>
            </w:r>
          </w:p>
        </w:tc>
        <w:tc>
          <w:tcPr>
            <w:tcW w:w="1911" w:type="dxa"/>
            <w:tcBorders>
              <w:top w:val="single" w:color="auto" w:sz="2" w:space="0"/>
              <w:left w:val="single" w:color="auto" w:sz="2" w:space="0"/>
              <w:bottom w:val="single" w:color="auto" w:sz="2" w:space="0"/>
              <w:right w:val="single" w:color="auto" w:sz="2" w:space="0"/>
            </w:tcBorders>
            <w:vAlign w:val="center"/>
          </w:tcPr>
          <w:p w14:paraId="36B72D0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28.80</w:t>
            </w:r>
          </w:p>
        </w:tc>
        <w:tc>
          <w:tcPr>
            <w:tcW w:w="1251" w:type="dxa"/>
            <w:tcBorders>
              <w:top w:val="single" w:color="auto" w:sz="2" w:space="0"/>
              <w:left w:val="single" w:color="auto" w:sz="2" w:space="0"/>
              <w:bottom w:val="single" w:color="auto" w:sz="2" w:space="0"/>
              <w:right w:val="single" w:color="auto" w:sz="2" w:space="0"/>
            </w:tcBorders>
            <w:vAlign w:val="center"/>
          </w:tcPr>
          <w:p w14:paraId="2C47387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1.05</w:t>
            </w:r>
          </w:p>
        </w:tc>
      </w:tr>
      <w:tr w14:paraId="0A03B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46609CE1">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2</w:t>
            </w:r>
          </w:p>
        </w:tc>
        <w:tc>
          <w:tcPr>
            <w:tcW w:w="2078" w:type="dxa"/>
            <w:tcBorders>
              <w:top w:val="single" w:color="auto" w:sz="2" w:space="0"/>
              <w:left w:val="single" w:color="auto" w:sz="2" w:space="0"/>
              <w:bottom w:val="single" w:color="auto" w:sz="2" w:space="0"/>
              <w:right w:val="single" w:color="auto" w:sz="2" w:space="0"/>
            </w:tcBorders>
            <w:vAlign w:val="center"/>
          </w:tcPr>
          <w:p w14:paraId="036F35DD">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6"/>
                <w:sz w:val="24"/>
                <w:szCs w:val="24"/>
                <w14:textFill>
                  <w14:solidFill>
                    <w14:schemeClr w14:val="tx1"/>
                  </w14:solidFill>
                </w14:textFill>
              </w:rPr>
              <w:t>周边农村地区</w:t>
            </w:r>
          </w:p>
        </w:tc>
        <w:tc>
          <w:tcPr>
            <w:tcW w:w="922" w:type="dxa"/>
            <w:tcBorders>
              <w:top w:val="single" w:color="auto" w:sz="2" w:space="0"/>
              <w:left w:val="single" w:color="auto" w:sz="2" w:space="0"/>
              <w:bottom w:val="single" w:color="auto" w:sz="2" w:space="0"/>
              <w:right w:val="single" w:color="auto" w:sz="2" w:space="0"/>
            </w:tcBorders>
            <w:vAlign w:val="center"/>
          </w:tcPr>
          <w:p w14:paraId="5C7215C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0.95</w:t>
            </w:r>
          </w:p>
        </w:tc>
        <w:tc>
          <w:tcPr>
            <w:tcW w:w="1711" w:type="dxa"/>
            <w:tcBorders>
              <w:top w:val="single" w:color="auto" w:sz="2" w:space="0"/>
              <w:left w:val="single" w:color="auto" w:sz="2" w:space="0"/>
              <w:bottom w:val="single" w:color="auto" w:sz="2" w:space="0"/>
              <w:right w:val="single" w:color="auto" w:sz="2" w:space="0"/>
            </w:tcBorders>
            <w:vAlign w:val="center"/>
          </w:tcPr>
          <w:p w14:paraId="1FB98F57">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0.7</w:t>
            </w:r>
          </w:p>
        </w:tc>
        <w:tc>
          <w:tcPr>
            <w:tcW w:w="1911" w:type="dxa"/>
            <w:tcBorders>
              <w:top w:val="single" w:color="auto" w:sz="2" w:space="0"/>
              <w:left w:val="single" w:color="auto" w:sz="2" w:space="0"/>
              <w:bottom w:val="single" w:color="auto" w:sz="2" w:space="0"/>
              <w:right w:val="single" w:color="auto" w:sz="2" w:space="0"/>
            </w:tcBorders>
            <w:vAlign w:val="center"/>
          </w:tcPr>
          <w:p w14:paraId="2CBCCA9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6.65</w:t>
            </w:r>
          </w:p>
        </w:tc>
        <w:tc>
          <w:tcPr>
            <w:tcW w:w="1251" w:type="dxa"/>
            <w:tcBorders>
              <w:top w:val="single" w:color="auto" w:sz="2" w:space="0"/>
              <w:left w:val="single" w:color="auto" w:sz="2" w:space="0"/>
              <w:bottom w:val="single" w:color="auto" w:sz="2" w:space="0"/>
              <w:right w:val="single" w:color="auto" w:sz="2" w:space="0"/>
            </w:tcBorders>
            <w:vAlign w:val="center"/>
          </w:tcPr>
          <w:p w14:paraId="61B57985">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0.24</w:t>
            </w:r>
          </w:p>
        </w:tc>
      </w:tr>
      <w:tr w14:paraId="60AAF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4C42FBCA">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七</w:t>
            </w:r>
          </w:p>
        </w:tc>
        <w:tc>
          <w:tcPr>
            <w:tcW w:w="2078" w:type="dxa"/>
            <w:tcBorders>
              <w:top w:val="single" w:color="auto" w:sz="2" w:space="0"/>
              <w:left w:val="single" w:color="auto" w:sz="2" w:space="0"/>
              <w:bottom w:val="single" w:color="auto" w:sz="2" w:space="0"/>
              <w:right w:val="single" w:color="auto" w:sz="2" w:space="0"/>
            </w:tcBorders>
            <w:vAlign w:val="center"/>
          </w:tcPr>
          <w:p w14:paraId="40C2537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4"/>
                <w:sz w:val="24"/>
                <w:szCs w:val="24"/>
                <w14:textFill>
                  <w14:solidFill>
                    <w14:schemeClr w14:val="tx1"/>
                  </w14:solidFill>
                </w14:textFill>
              </w:rPr>
              <w:t>白云矿</w:t>
            </w:r>
            <w:r>
              <w:rPr>
                <w:rFonts w:hint="default" w:ascii="Times New Roman" w:hAnsi="Times New Roman" w:eastAsia="仿宋" w:cs="Times New Roman"/>
                <w:color w:val="000000" w:themeColor="text1"/>
                <w:sz w:val="24"/>
                <w:szCs w:val="24"/>
                <w14:textFill>
                  <w14:solidFill>
                    <w14:schemeClr w14:val="tx1"/>
                  </w14:solidFill>
                </w14:textFill>
              </w:rPr>
              <w:t>区</w:t>
            </w:r>
          </w:p>
        </w:tc>
        <w:tc>
          <w:tcPr>
            <w:tcW w:w="922" w:type="dxa"/>
            <w:tcBorders>
              <w:top w:val="single" w:color="auto" w:sz="2" w:space="0"/>
              <w:left w:val="single" w:color="auto" w:sz="2" w:space="0"/>
              <w:bottom w:val="single" w:color="auto" w:sz="2" w:space="0"/>
              <w:right w:val="single" w:color="auto" w:sz="2" w:space="0"/>
            </w:tcBorders>
            <w:vAlign w:val="center"/>
          </w:tcPr>
          <w:p w14:paraId="7A08E953">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1.53</w:t>
            </w:r>
          </w:p>
        </w:tc>
        <w:tc>
          <w:tcPr>
            <w:tcW w:w="1711" w:type="dxa"/>
            <w:tcBorders>
              <w:top w:val="single" w:color="auto" w:sz="2" w:space="0"/>
              <w:left w:val="single" w:color="auto" w:sz="2" w:space="0"/>
              <w:bottom w:val="single" w:color="auto" w:sz="2" w:space="0"/>
              <w:right w:val="single" w:color="auto" w:sz="2" w:space="0"/>
            </w:tcBorders>
            <w:vAlign w:val="center"/>
          </w:tcPr>
          <w:p w14:paraId="42EC00F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3"/>
                <w:sz w:val="24"/>
                <w:szCs w:val="24"/>
                <w14:textFill>
                  <w14:solidFill>
                    <w14:schemeClr w14:val="tx1"/>
                  </w14:solidFill>
                </w14:textFill>
              </w:rPr>
              <w:t>1.0</w:t>
            </w:r>
          </w:p>
        </w:tc>
        <w:tc>
          <w:tcPr>
            <w:tcW w:w="1911" w:type="dxa"/>
            <w:tcBorders>
              <w:top w:val="single" w:color="auto" w:sz="2" w:space="0"/>
              <w:left w:val="single" w:color="auto" w:sz="2" w:space="0"/>
              <w:bottom w:val="single" w:color="auto" w:sz="2" w:space="0"/>
              <w:right w:val="single" w:color="auto" w:sz="2" w:space="0"/>
            </w:tcBorders>
            <w:vAlign w:val="center"/>
          </w:tcPr>
          <w:p w14:paraId="72EE38FB">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15.30</w:t>
            </w:r>
          </w:p>
        </w:tc>
        <w:tc>
          <w:tcPr>
            <w:tcW w:w="1251" w:type="dxa"/>
            <w:tcBorders>
              <w:top w:val="single" w:color="auto" w:sz="2" w:space="0"/>
              <w:left w:val="single" w:color="auto" w:sz="2" w:space="0"/>
              <w:bottom w:val="single" w:color="auto" w:sz="2" w:space="0"/>
              <w:right w:val="single" w:color="auto" w:sz="2" w:space="0"/>
            </w:tcBorders>
            <w:vAlign w:val="center"/>
          </w:tcPr>
          <w:p w14:paraId="380CDDE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1"/>
                <w:sz w:val="24"/>
                <w:szCs w:val="24"/>
                <w14:textFill>
                  <w14:solidFill>
                    <w14:schemeClr w14:val="tx1"/>
                  </w14:solidFill>
                </w14:textFill>
              </w:rPr>
              <w:t>0.56</w:t>
            </w:r>
          </w:p>
        </w:tc>
      </w:tr>
      <w:tr w14:paraId="36320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682" w:type="dxa"/>
            <w:tcBorders>
              <w:top w:val="single" w:color="auto" w:sz="2" w:space="0"/>
              <w:left w:val="single" w:color="auto" w:sz="2" w:space="0"/>
              <w:bottom w:val="single" w:color="auto" w:sz="2" w:space="0"/>
              <w:right w:val="single" w:color="auto" w:sz="2" w:space="0"/>
            </w:tcBorders>
            <w:vAlign w:val="center"/>
          </w:tcPr>
          <w:p w14:paraId="18F6969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4"/>
                <w:sz w:val="24"/>
                <w:szCs w:val="24"/>
                <w14:textFill>
                  <w14:solidFill>
                    <w14:schemeClr w14:val="tx1"/>
                  </w14:solidFill>
                </w14:textFill>
              </w:rPr>
              <w:t>合计</w:t>
            </w:r>
          </w:p>
        </w:tc>
        <w:tc>
          <w:tcPr>
            <w:tcW w:w="2078" w:type="dxa"/>
            <w:tcBorders>
              <w:top w:val="single" w:color="auto" w:sz="2" w:space="0"/>
              <w:left w:val="single" w:color="auto" w:sz="2" w:space="0"/>
              <w:bottom w:val="single" w:color="auto" w:sz="2" w:space="0"/>
              <w:right w:val="single" w:color="auto" w:sz="2" w:space="0"/>
            </w:tcBorders>
            <w:vAlign w:val="center"/>
          </w:tcPr>
          <w:p w14:paraId="46FB22D9">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922" w:type="dxa"/>
            <w:tcBorders>
              <w:top w:val="single" w:color="auto" w:sz="2" w:space="0"/>
              <w:left w:val="single" w:color="auto" w:sz="2" w:space="0"/>
              <w:bottom w:val="single" w:color="auto" w:sz="2" w:space="0"/>
              <w:right w:val="single" w:color="auto" w:sz="2" w:space="0"/>
            </w:tcBorders>
            <w:vAlign w:val="center"/>
          </w:tcPr>
          <w:p w14:paraId="2B74C76F">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202.26</w:t>
            </w:r>
          </w:p>
        </w:tc>
        <w:tc>
          <w:tcPr>
            <w:tcW w:w="1711" w:type="dxa"/>
            <w:tcBorders>
              <w:top w:val="single" w:color="auto" w:sz="2" w:space="0"/>
              <w:left w:val="single" w:color="auto" w:sz="2" w:space="0"/>
              <w:bottom w:val="single" w:color="auto" w:sz="2" w:space="0"/>
              <w:right w:val="single" w:color="auto" w:sz="2" w:space="0"/>
            </w:tcBorders>
            <w:vAlign w:val="center"/>
          </w:tcPr>
          <w:p w14:paraId="3A13B6AE">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p>
        </w:tc>
        <w:tc>
          <w:tcPr>
            <w:tcW w:w="1911" w:type="dxa"/>
            <w:tcBorders>
              <w:top w:val="single" w:color="auto" w:sz="2" w:space="0"/>
              <w:left w:val="single" w:color="auto" w:sz="2" w:space="0"/>
              <w:bottom w:val="single" w:color="auto" w:sz="2" w:space="0"/>
              <w:right w:val="single" w:color="auto" w:sz="2" w:space="0"/>
            </w:tcBorders>
            <w:vAlign w:val="center"/>
          </w:tcPr>
          <w:p w14:paraId="21540462">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2122.33</w:t>
            </w:r>
          </w:p>
        </w:tc>
        <w:tc>
          <w:tcPr>
            <w:tcW w:w="1251" w:type="dxa"/>
            <w:tcBorders>
              <w:top w:val="single" w:color="auto" w:sz="2" w:space="0"/>
              <w:left w:val="single" w:color="auto" w:sz="2" w:space="0"/>
              <w:bottom w:val="single" w:color="auto" w:sz="2" w:space="0"/>
              <w:right w:val="single" w:color="auto" w:sz="2" w:space="0"/>
            </w:tcBorders>
            <w:vAlign w:val="center"/>
          </w:tcPr>
          <w:p w14:paraId="2F38EEE8">
            <w:pPr>
              <w:spacing w:line="240" w:lineRule="auto"/>
              <w:jc w:val="center"/>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pacing w:val="2"/>
                <w:sz w:val="24"/>
                <w:szCs w:val="24"/>
                <w14:textFill>
                  <w14:solidFill>
                    <w14:schemeClr w14:val="tx1"/>
                  </w14:solidFill>
                </w14:textFill>
              </w:rPr>
              <w:t>77.47</w:t>
            </w:r>
          </w:p>
        </w:tc>
      </w:tr>
    </w:tbl>
    <w:p w14:paraId="37A2B8CF">
      <w:pPr>
        <w:pStyle w:val="15"/>
        <w:ind w:firstLine="564"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1"/>
          <w:sz w:val="28"/>
          <w:szCs w:val="28"/>
          <w:lang w:eastAsia="zh-CN"/>
          <w14:textFill>
            <w14:solidFill>
              <w14:schemeClr w14:val="tx1"/>
            </w14:solidFill>
          </w14:textFill>
        </w:rPr>
        <w:t>根据上表格《包头市城镇环境卫生“十四五”规划》（2021年06月）对人口</w:t>
      </w:r>
      <w:r>
        <w:rPr>
          <w:rFonts w:hint="eastAsia" w:ascii="仿宋" w:hAnsi="仿宋" w:eastAsia="仿宋" w:cs="仿宋"/>
          <w:color w:val="000000" w:themeColor="text1"/>
          <w:spacing w:val="-5"/>
          <w:sz w:val="28"/>
          <w:szCs w:val="28"/>
          <w:lang w:eastAsia="zh-CN"/>
          <w14:textFill>
            <w14:solidFill>
              <w14:schemeClr w14:val="tx1"/>
            </w14:solidFill>
          </w14:textFill>
        </w:rPr>
        <w:t>及垃圾量的预测，2025年产生垃圾量大约2122.33t/d。比环卫部门统计数据略低。</w:t>
      </w:r>
    </w:p>
    <w:p w14:paraId="7898AF78">
      <w:pPr>
        <w:ind w:firstLine="548" w:firstLineChars="200"/>
        <w:rPr>
          <w:rFonts w:hint="eastAsia" w:ascii="仿宋" w:hAnsi="仿宋" w:cs="仿宋"/>
          <w:color w:val="000000" w:themeColor="text1"/>
          <w:spacing w:val="-5"/>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该数据比较保守，随着生活质量的提高，人均垃圾量和垃圾收运率</w:t>
      </w:r>
      <w:r>
        <w:rPr>
          <w:rFonts w:hint="eastAsia" w:ascii="仿宋" w:hAnsi="仿宋" w:cs="仿宋"/>
          <w:color w:val="000000" w:themeColor="text1"/>
          <w:spacing w:val="-4"/>
          <w:szCs w:val="28"/>
          <w14:textFill>
            <w14:solidFill>
              <w14:schemeClr w14:val="tx1"/>
            </w14:solidFill>
          </w14:textFill>
        </w:rPr>
        <w:t>也会呈现</w:t>
      </w:r>
      <w:r>
        <w:rPr>
          <w:rFonts w:hint="eastAsia" w:ascii="仿宋" w:hAnsi="仿宋" w:cs="仿宋"/>
          <w:color w:val="000000" w:themeColor="text1"/>
          <w:spacing w:val="-3"/>
          <w:szCs w:val="28"/>
          <w14:textFill>
            <w14:solidFill>
              <w14:schemeClr w14:val="tx1"/>
            </w14:solidFill>
          </w14:textFill>
        </w:rPr>
        <w:t>出递增的趋势，所以未来包头市产生的生活垃圾</w:t>
      </w:r>
      <w:r>
        <w:rPr>
          <w:rFonts w:hint="eastAsia" w:ascii="仿宋" w:hAnsi="仿宋" w:cs="仿宋"/>
          <w:color w:val="000000" w:themeColor="text1"/>
          <w:spacing w:val="-4"/>
          <w:szCs w:val="28"/>
          <w14:textFill>
            <w14:solidFill>
              <w14:schemeClr w14:val="tx1"/>
            </w14:solidFill>
          </w14:textFill>
        </w:rPr>
        <w:t>在目前的数据基础上还会有很大</w:t>
      </w:r>
      <w:r>
        <w:rPr>
          <w:rFonts w:hint="eastAsia" w:ascii="仿宋" w:hAnsi="仿宋" w:cs="仿宋"/>
          <w:color w:val="000000" w:themeColor="text1"/>
          <w:spacing w:val="-5"/>
          <w:szCs w:val="28"/>
          <w14:textFill>
            <w14:solidFill>
              <w14:schemeClr w14:val="tx1"/>
            </w14:solidFill>
          </w14:textFill>
        </w:rPr>
        <w:t>的增长空间。</w:t>
      </w:r>
    </w:p>
    <w:p w14:paraId="1490795F">
      <w:pPr>
        <w:ind w:firstLine="548"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根据其他城市（如上海）推行垃圾分类的成效分析，垃圾分类对垃圾量有如</w:t>
      </w:r>
      <w:r>
        <w:rPr>
          <w:rFonts w:hint="eastAsia" w:ascii="仿宋" w:hAnsi="仿宋" w:cs="仿宋"/>
          <w:color w:val="000000" w:themeColor="text1"/>
          <w:spacing w:val="-5"/>
          <w:szCs w:val="28"/>
          <w14:textFill>
            <w14:solidFill>
              <w14:schemeClr w14:val="tx1"/>
            </w14:solidFill>
          </w14:textFill>
        </w:rPr>
        <w:t>下影响：</w:t>
      </w:r>
    </w:p>
    <w:p w14:paraId="058CDED9">
      <w:pPr>
        <w:ind w:firstLine="54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5"/>
          <w:szCs w:val="28"/>
          <w14:textFill>
            <w14:solidFill>
              <w14:schemeClr w14:val="tx1"/>
            </w14:solidFill>
          </w14:textFill>
        </w:rPr>
        <w:t>1、随着垃圾分类的逐步开展与深入，可回收垃圾分出量、有害垃圾分出量、</w:t>
      </w:r>
      <w:r>
        <w:rPr>
          <w:rFonts w:hint="eastAsia" w:ascii="仿宋" w:hAnsi="仿宋" w:cs="仿宋"/>
          <w:color w:val="000000" w:themeColor="text1"/>
          <w:spacing w:val="-1"/>
          <w:szCs w:val="28"/>
          <w14:textFill>
            <w14:solidFill>
              <w14:schemeClr w14:val="tx1"/>
            </w14:solidFill>
          </w14:textFill>
        </w:rPr>
        <w:t>湿垃圾分出量会逐渐提高，干垃圾处理量会逐渐降低。</w:t>
      </w:r>
    </w:p>
    <w:p w14:paraId="084DDA31">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2、垃圾分类在前期阶段主要进行干湿分离</w:t>
      </w:r>
      <w:r>
        <w:rPr>
          <w:rFonts w:hint="eastAsia" w:ascii="仿宋" w:hAnsi="仿宋" w:cs="仿宋"/>
          <w:color w:val="000000" w:themeColor="text1"/>
          <w:spacing w:val="-1"/>
          <w:szCs w:val="28"/>
          <w14:textFill>
            <w14:solidFill>
              <w14:schemeClr w14:val="tx1"/>
            </w14:solidFill>
          </w14:textFill>
        </w:rPr>
        <w:t>，此阶段主要是将厨余等湿垃圾</w:t>
      </w:r>
      <w:r>
        <w:rPr>
          <w:rFonts w:hint="eastAsia" w:ascii="仿宋" w:hAnsi="仿宋" w:cs="仿宋"/>
          <w:color w:val="000000" w:themeColor="text1"/>
          <w:spacing w:val="-3"/>
          <w:szCs w:val="28"/>
          <w14:textFill>
            <w14:solidFill>
              <w14:schemeClr w14:val="tx1"/>
            </w14:solidFill>
          </w14:textFill>
        </w:rPr>
        <w:t>与其他干垃圾分离。随着垃圾终端处理设施和垃圾收运设施完善，开始进行垃圾</w:t>
      </w:r>
      <w:r>
        <w:rPr>
          <w:rFonts w:hint="eastAsia" w:ascii="仿宋" w:hAnsi="仿宋" w:cs="仿宋"/>
          <w:color w:val="000000" w:themeColor="text1"/>
          <w:spacing w:val="-2"/>
          <w:szCs w:val="28"/>
          <w14:textFill>
            <w14:solidFill>
              <w14:schemeClr w14:val="tx1"/>
            </w14:solidFill>
          </w14:textFill>
        </w:rPr>
        <w:t>的减量化和资源化。</w:t>
      </w:r>
    </w:p>
    <w:p w14:paraId="2DB8357C">
      <w:pPr>
        <w:ind w:firstLine="556"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1"/>
          <w:szCs w:val="28"/>
          <w14:textFill>
            <w14:solidFill>
              <w14:schemeClr w14:val="tx1"/>
            </w14:solidFill>
          </w14:textFill>
        </w:rPr>
        <w:t>结合包头市的实际情况，预计垃圾分类的影响如下：</w:t>
      </w:r>
    </w:p>
    <w:p w14:paraId="0EE8ABEB">
      <w:pPr>
        <w:ind w:firstLine="556"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1"/>
          <w:szCs w:val="28"/>
          <w14:textFill>
            <w14:solidFill>
              <w14:schemeClr w14:val="tx1"/>
            </w14:solidFill>
          </w14:textFill>
        </w:rPr>
        <w:t>1、干湿分离后，干垃圾产生量将会减少，但短期内对焚烧发电厂进厂量不</w:t>
      </w:r>
      <w:r>
        <w:rPr>
          <w:rFonts w:hint="eastAsia" w:ascii="仿宋" w:hAnsi="仿宋" w:cs="仿宋"/>
          <w:color w:val="000000" w:themeColor="text1"/>
          <w:spacing w:val="-3"/>
          <w:szCs w:val="28"/>
          <w14:textFill>
            <w14:solidFill>
              <w14:schemeClr w14:val="tx1"/>
            </w14:solidFill>
          </w14:textFill>
        </w:rPr>
        <w:t>会减少，主要是厨余垃圾收运率有一个逐渐提高的过程，厨余垃圾的终端处理设</w:t>
      </w:r>
      <w:r>
        <w:rPr>
          <w:rFonts w:hint="eastAsia" w:ascii="仿宋" w:hAnsi="仿宋" w:cs="仿宋"/>
          <w:color w:val="000000" w:themeColor="text1"/>
          <w:spacing w:val="-1"/>
          <w:szCs w:val="28"/>
          <w14:textFill>
            <w14:solidFill>
              <w14:schemeClr w14:val="tx1"/>
            </w14:solidFill>
          </w14:textFill>
        </w:rPr>
        <w:t>施也存在一个逐渐完善的过程。因此，短期内（2026年之前</w:t>
      </w:r>
      <w:r>
        <w:rPr>
          <w:rFonts w:hint="eastAsia" w:ascii="仿宋" w:hAnsi="仿宋" w:cs="仿宋"/>
          <w:color w:val="000000" w:themeColor="text1"/>
          <w:spacing w:val="7"/>
          <w:szCs w:val="28"/>
          <w14:textFill>
            <w14:solidFill>
              <w14:schemeClr w14:val="tx1"/>
            </w14:solidFill>
          </w14:textFill>
        </w:rPr>
        <w:t>），</w:t>
      </w:r>
      <w:r>
        <w:rPr>
          <w:rFonts w:hint="eastAsia" w:ascii="仿宋" w:hAnsi="仿宋" w:cs="仿宋"/>
          <w:color w:val="000000" w:themeColor="text1"/>
          <w:spacing w:val="-1"/>
          <w:szCs w:val="28"/>
          <w14:textFill>
            <w14:solidFill>
              <w14:schemeClr w14:val="tx1"/>
            </w14:solidFill>
          </w14:textFill>
        </w:rPr>
        <w:t>可以基本不考虑垃圾分类对焚烧垃圾量的影响。</w:t>
      </w:r>
    </w:p>
    <w:p w14:paraId="0F180FFF">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2、从长远来看，若末端设施能够满足完全</w:t>
      </w:r>
      <w:r>
        <w:rPr>
          <w:rFonts w:hint="eastAsia" w:ascii="仿宋" w:hAnsi="仿宋" w:cs="仿宋"/>
          <w:color w:val="000000" w:themeColor="text1"/>
          <w:spacing w:val="-1"/>
          <w:szCs w:val="28"/>
          <w14:textFill>
            <w14:solidFill>
              <w14:schemeClr w14:val="tx1"/>
            </w14:solidFill>
          </w14:textFill>
        </w:rPr>
        <w:t>的分类处置，则处理量将仅剩干</w:t>
      </w:r>
      <w:r>
        <w:rPr>
          <w:rFonts w:hint="eastAsia" w:ascii="仿宋" w:hAnsi="仿宋" w:cs="仿宋"/>
          <w:color w:val="000000" w:themeColor="text1"/>
          <w:spacing w:val="-3"/>
          <w:szCs w:val="28"/>
          <w14:textFill>
            <w14:solidFill>
              <w14:schemeClr w14:val="tx1"/>
            </w14:solidFill>
          </w14:textFill>
        </w:rPr>
        <w:t>垃圾，以及少量其他设施二次分拣出的垃圾。即使是末端设施尚不能满足完全的</w:t>
      </w:r>
      <w:r>
        <w:rPr>
          <w:rFonts w:hint="eastAsia" w:ascii="仿宋" w:hAnsi="仿宋" w:cs="仿宋"/>
          <w:color w:val="000000" w:themeColor="text1"/>
          <w:spacing w:val="-1"/>
          <w:szCs w:val="28"/>
          <w14:textFill>
            <w14:solidFill>
              <w14:schemeClr w14:val="tx1"/>
            </w14:solidFill>
          </w14:textFill>
        </w:rPr>
        <w:t>分类处置，通过一定的分类收集和运输阶段也</w:t>
      </w:r>
      <w:r>
        <w:rPr>
          <w:rFonts w:hint="eastAsia" w:ascii="仿宋" w:hAnsi="仿宋" w:cs="仿宋"/>
          <w:color w:val="000000" w:themeColor="text1"/>
          <w:spacing w:val="-2"/>
          <w:szCs w:val="28"/>
          <w14:textFill>
            <w14:solidFill>
              <w14:schemeClr w14:val="tx1"/>
            </w14:solidFill>
          </w14:textFill>
        </w:rPr>
        <w:t>会减少直接进入焚烧厂的垃圾量。</w:t>
      </w:r>
      <w:r>
        <w:rPr>
          <w:rFonts w:hint="eastAsia" w:ascii="仿宋" w:hAnsi="仿宋" w:cs="仿宋"/>
          <w:color w:val="000000" w:themeColor="text1"/>
          <w:spacing w:val="-3"/>
          <w:szCs w:val="28"/>
          <w14:textFill>
            <w14:solidFill>
              <w14:schemeClr w14:val="tx1"/>
            </w14:solidFill>
          </w14:textFill>
        </w:rPr>
        <w:t>参考上海市垃圾分类后的效果，预计生活垃圾分类处置完善后，生活垃圾焚烧量</w:t>
      </w:r>
      <w:r>
        <w:rPr>
          <w:rFonts w:hint="eastAsia" w:ascii="仿宋" w:hAnsi="仿宋" w:cs="仿宋"/>
          <w:color w:val="000000" w:themeColor="text1"/>
          <w:spacing w:val="-4"/>
          <w:szCs w:val="28"/>
          <w14:textFill>
            <w14:solidFill>
              <w14:schemeClr w14:val="tx1"/>
            </w14:solidFill>
          </w14:textFill>
        </w:rPr>
        <w:t>会降低15%~20%。</w:t>
      </w:r>
    </w:p>
    <w:p w14:paraId="292A50E7">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建设规模确定</w:t>
      </w:r>
    </w:p>
    <w:p w14:paraId="576E684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本项目建设规模的确定主要考虑因素如下：</w:t>
      </w:r>
    </w:p>
    <w:p w14:paraId="41A3A577">
      <w:pPr>
        <w:numPr>
          <w:ilvl w:val="0"/>
          <w:numId w:val="2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垃圾焚烧发电厂的服务期限较长，要求考虑服务后期的垃圾增长量；</w:t>
      </w:r>
    </w:p>
    <w:p w14:paraId="3E0FA41E">
      <w:pPr>
        <w:numPr>
          <w:ilvl w:val="0"/>
          <w:numId w:val="2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垃圾不断增加的原因主要是人口的增长和垃圾清运率的提高；而包头市人口自然增长率较低；</w:t>
      </w:r>
    </w:p>
    <w:p w14:paraId="7917DD39">
      <w:pPr>
        <w:numPr>
          <w:ilvl w:val="0"/>
          <w:numId w:val="2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垃圾焚烧炉有约10%的短时间超负荷能力；</w:t>
      </w:r>
    </w:p>
    <w:p w14:paraId="238EDB1B">
      <w:pPr>
        <w:numPr>
          <w:ilvl w:val="0"/>
          <w:numId w:val="2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垃圾运输距离：运距不应超过50公里；</w:t>
      </w:r>
    </w:p>
    <w:p w14:paraId="3A7856FA">
      <w:pPr>
        <w:numPr>
          <w:ilvl w:val="0"/>
          <w:numId w:val="2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包头市填埋场服务周期和处置能力。</w:t>
      </w:r>
    </w:p>
    <w:p w14:paraId="35AD893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根据环卫部门统计数据，目前垃圾量大约2424t/d。</w:t>
      </w:r>
    </w:p>
    <w:p w14:paraId="5D74E48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垃圾焚烧发电厂项目的服务范围是包头市生活垃圾处理中心填埋场及东河生活垃圾填埋场原服务范围。目前两个填埋场进场垃圾量为900t/d。垃圾焚烧发电厂的规模还需要考虑未来垃圾分类造成的垃圾量减少大约15%~20%的影响。如果未来垃圾实施全面垃圾分类政策，可收集的垃圾量总共有798-848t/d。同时目前包头市人口呈现负增长态势，则特许经营期限40年内人口不会有很大提升，垃圾量也不会再明显提升。</w:t>
      </w:r>
    </w:p>
    <w:p w14:paraId="686F228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此，本项目一期规模确定为日焚烧处理垃圾能力800吨，计划2025年投产运行，配置2×400t/d垃圾焚烧线和18MW汽轮发电机组。由于焚烧炉本身有110%的超负荷运行能力，所以短期可以消纳处理880t/d的生活垃圾，满足未来发展需要。</w:t>
      </w:r>
    </w:p>
    <w:p w14:paraId="0A8D2E1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本项目将以填埋场和生活垃圾焚烧发电厂为核心，打造填埋厂、飞灰填埋场、餐厨厨余垃圾处理厂、大件垃圾、工业固废、建筑垃圾厂等多种废物处理集中处理的静脉产业园。</w:t>
      </w:r>
    </w:p>
    <w:p w14:paraId="652E5BB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本项目远期协同掺烧园区内餐厨、厨余、污泥、地沟油项目剩余的泥渣及沼渣280t/d。远期根据垃圾量的实际增长状况，可考虑适时增加一条400t/d垃圾焚烧线。</w:t>
      </w:r>
    </w:p>
    <w:p w14:paraId="3E820F4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本项目最终具体建设规模以</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出具的专业技术文件为准。</w:t>
      </w:r>
    </w:p>
    <w:p w14:paraId="1E917B7A">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主要建设内容</w:t>
      </w:r>
    </w:p>
    <w:p w14:paraId="4E3AB8E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拟建设垃圾焚烧发电设施，设计总规模为日处理垃圾800吨，包含建设一座日处理800吨的生活垃圾焚烧发电厂，采用2×400吨/日的焚烧线，配置2×400吨/日机械炉排垃圾焚烧炉和1台18MW抽凝式汽轮发电机组，年运行时间不少于8000小时。</w:t>
      </w:r>
    </w:p>
    <w:p w14:paraId="3DD38D7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建设</w:t>
      </w:r>
      <w:r>
        <w:rPr>
          <w:rFonts w:hint="eastAsia"/>
          <w:color w:val="000000" w:themeColor="text1"/>
          <w14:textFill>
            <w14:solidFill>
              <w14:schemeClr w14:val="tx1"/>
            </w14:solidFill>
          </w14:textFill>
        </w:rPr>
        <w:t>内容包括</w:t>
      </w:r>
      <w:r>
        <w:rPr>
          <w:color w:val="000000" w:themeColor="text1"/>
          <w14:textFill>
            <w14:solidFill>
              <w14:schemeClr w14:val="tx1"/>
            </w14:solidFill>
          </w14:textFill>
        </w:rPr>
        <w:t>：</w:t>
      </w:r>
    </w:p>
    <w:p w14:paraId="77E7067D">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垃圾焚烧系统；</w:t>
      </w:r>
    </w:p>
    <w:p w14:paraId="74F0D7B4">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垃圾接受处理及助燃系统；</w:t>
      </w:r>
    </w:p>
    <w:p w14:paraId="568FFC9D">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余热利用系统；</w:t>
      </w:r>
    </w:p>
    <w:p w14:paraId="6CDB0659">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烟气净化系统</w:t>
      </w:r>
    </w:p>
    <w:p w14:paraId="298F7314">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除灰渣系统；</w:t>
      </w:r>
    </w:p>
    <w:p w14:paraId="7F3E8BB8">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水处理系统；</w:t>
      </w:r>
    </w:p>
    <w:p w14:paraId="1D8320A9">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电气系统；</w:t>
      </w:r>
    </w:p>
    <w:p w14:paraId="4A88AEF6">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热工控制系统；</w:t>
      </w:r>
    </w:p>
    <w:p w14:paraId="78ACFCB7">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附属生产工程；</w:t>
      </w:r>
    </w:p>
    <w:p w14:paraId="1F67E128">
      <w:pPr>
        <w:numPr>
          <w:ilvl w:val="0"/>
          <w:numId w:val="2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厂区配套工程。</w:t>
      </w:r>
    </w:p>
    <w:p w14:paraId="50A8E4F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建设标准</w:t>
      </w:r>
    </w:p>
    <w:p w14:paraId="7A6559A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本项目生活垃圾低位热值设计值为6908kJ/kg（1650kcal/kg），垃圾低位热值设计变化范围为4605～8793kJ/kg。</w:t>
      </w:r>
    </w:p>
    <w:p w14:paraId="1D2C7DA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焚烧工艺采用国内先进的、技术成熟的机械炉排炉。设两台焚烧炉，单台日处理能力为400吨。余热锅炉采用中温次高压蒸汽锅炉(6.4MPa(g)、450℃)，配置一台套18MW抽凝式汽轮发电机组，蒸汽冷凝方式采用水冷。</w:t>
      </w:r>
    </w:p>
    <w:p w14:paraId="4EDC8B5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本项目烟气净化系统采用SNCR+半干法（Ca(OH)2溶液）+干法（Ca(OH)2干粉）＋活性炭吸附＋袋式除尘”的工艺，其烟气排放指标达到国标《生活垃圾焚烧污染控制标准》（GB18485-2014）标准中相关要求。</w:t>
      </w:r>
    </w:p>
    <w:p w14:paraId="3D80189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本项目垃圾渗沥液、生活污水送到厂内渗沥液处理站进行集中处理，该处理站设计渗沥液处理规模为300m³/d。</w:t>
      </w:r>
    </w:p>
    <w:p w14:paraId="763C513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本工程配置容量为18MW汽轮发电机组，MCR工况年发电量约1.168×108kW·h。</w:t>
      </w:r>
    </w:p>
    <w:p w14:paraId="030393B4">
      <w:pPr>
        <w:pStyle w:val="6"/>
        <w:numPr>
          <w:ilvl w:val="3"/>
          <w:numId w:val="14"/>
        </w:numPr>
        <w:spacing w:before="156" w:after="156"/>
        <w:outlineLvl w:val="2"/>
        <w:rPr>
          <w:color w:val="000000" w:themeColor="text1"/>
          <w14:textFill>
            <w14:solidFill>
              <w14:schemeClr w14:val="tx1"/>
            </w14:solidFill>
          </w14:textFill>
        </w:rPr>
      </w:pPr>
      <w:bookmarkStart w:id="145" w:name="_Toc29209"/>
      <w:bookmarkStart w:id="146" w:name="_Toc29258"/>
      <w:r>
        <w:rPr>
          <w:color w:val="000000" w:themeColor="text1"/>
          <w14:textFill>
            <w14:solidFill>
              <w14:schemeClr w14:val="tx1"/>
            </w14:solidFill>
          </w14:textFill>
        </w:rPr>
        <w:t>建设主要约束条件</w:t>
      </w:r>
      <w:bookmarkEnd w:id="145"/>
      <w:bookmarkEnd w:id="146"/>
    </w:p>
    <w:p w14:paraId="3B461E3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本项目因涉及青山区钢铁大街以北、东河区、石拐区、部分九原区等多个区域的垃圾处理工作，</w:t>
      </w:r>
      <w:r>
        <w:rPr>
          <w:color w:val="000000" w:themeColor="text1"/>
          <w14:textFill>
            <w14:solidFill>
              <w14:schemeClr w14:val="tx1"/>
            </w14:solidFill>
          </w14:textFill>
        </w:rPr>
        <w:t>厂址</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选择</w:t>
      </w:r>
      <w:r>
        <w:rPr>
          <w:rFonts w:hint="eastAsia"/>
          <w:color w:val="000000" w:themeColor="text1"/>
          <w14:textFill>
            <w14:solidFill>
              <w14:schemeClr w14:val="tx1"/>
            </w14:solidFill>
          </w14:textFill>
        </w:rPr>
        <w:t>为一大约束条件。厂址选择</w:t>
      </w:r>
      <w:r>
        <w:rPr>
          <w:color w:val="000000" w:themeColor="text1"/>
          <w14:textFill>
            <w14:solidFill>
              <w14:schemeClr w14:val="tx1"/>
            </w14:solidFill>
          </w14:textFill>
        </w:rPr>
        <w:t>应综合考虑垃圾焚烧厂的服务区域、服务区的垃圾转运能力、运输距离、预留发展等因素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厂址与服务区之间应有良好的道路交通条件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满足生产、生活的供水水源和污水排放条件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有必须的电力供应</w:t>
      </w:r>
      <w:r>
        <w:rPr>
          <w:rFonts w:hint="eastAsia"/>
          <w:color w:val="000000" w:themeColor="text1"/>
          <w14:textFill>
            <w14:solidFill>
              <w14:schemeClr w14:val="tx1"/>
            </w14:solidFill>
          </w14:textFill>
        </w:rPr>
        <w:t>，同时</w:t>
      </w:r>
      <w:r>
        <w:rPr>
          <w:color w:val="000000" w:themeColor="text1"/>
          <w14:textFill>
            <w14:solidFill>
              <w14:schemeClr w14:val="tx1"/>
            </w14:solidFill>
          </w14:textFill>
        </w:rPr>
        <w:t>应考虑热用户分布、供热管网的技术可行性和经济性等因素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符合城乡总体规划和环境卫生专业规划要求，并应通过环境影响评价的认定。</w:t>
      </w:r>
    </w:p>
    <w:p w14:paraId="0C01AB7B">
      <w:pPr>
        <w:pStyle w:val="6"/>
        <w:numPr>
          <w:ilvl w:val="3"/>
          <w:numId w:val="14"/>
        </w:numPr>
        <w:spacing w:before="156" w:after="156"/>
        <w:outlineLvl w:val="2"/>
        <w:rPr>
          <w:color w:val="000000" w:themeColor="text1"/>
          <w14:textFill>
            <w14:solidFill>
              <w14:schemeClr w14:val="tx1"/>
            </w14:solidFill>
          </w14:textFill>
        </w:rPr>
      </w:pPr>
      <w:bookmarkStart w:id="147" w:name="_Toc9631"/>
      <w:bookmarkStart w:id="148" w:name="_Toc11038"/>
      <w:r>
        <w:rPr>
          <w:rFonts w:hint="eastAsia"/>
          <w:color w:val="000000" w:themeColor="text1"/>
          <w14:textFill>
            <w14:solidFill>
              <w14:schemeClr w14:val="tx1"/>
            </w14:solidFill>
          </w14:textFill>
        </w:rPr>
        <w:t>用地方式及选址地质条件</w:t>
      </w:r>
      <w:bookmarkEnd w:id="147"/>
    </w:p>
    <w:p w14:paraId="371C381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本项目属于建设用地，不占用基本农田。不涉及重要矿产压覆、占用耕地或永久基本农田等情况。用地方式为出让。</w:t>
      </w:r>
    </w:p>
    <w:p w14:paraId="50A0C33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项目所在地区域内较为平整，没有高大树木，局部有荒地。</w:t>
      </w:r>
    </w:p>
    <w:p w14:paraId="426DEE4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按《中国地震动参数区划图》(GB18306-2015)可知，项目抗震设防烈度为8度，设计基本地震加速度值为0.2g，分类为第二组，拟建厂址内地基土不存在振动液化现象，为抗震有利地段。</w:t>
      </w:r>
    </w:p>
    <w:p w14:paraId="6C373485">
      <w:pPr>
        <w:ind w:firstLine="560" w:firstLineChars="20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厂址周边自然环境条件、水文地质条件等对焚烧发电厂建设项目的影响不大，符合安全生产要求。</w:t>
      </w:r>
      <w:r>
        <w:rPr>
          <w:rFonts w:hint="eastAsia"/>
          <w:color w:val="000000" w:themeColor="text1"/>
          <w14:textFill>
            <w14:solidFill>
              <w14:schemeClr w14:val="tx1"/>
            </w14:solidFill>
          </w14:textFill>
        </w:rPr>
        <w:t>周边配套情况</w:t>
      </w:r>
      <w:bookmarkEnd w:id="148"/>
    </w:p>
    <w:p w14:paraId="1CE6C449">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配套情况</w:t>
      </w:r>
    </w:p>
    <w:p w14:paraId="5C04E2A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拟定厂址基本符合地方规划及国家现有行业标准；不受洪水、潮水或内涝的威胁；园区内包含生活垃圾处理中心，便于焚烧产生的炉渣及飞灰的处理与处置；有可靠的电力供应、供水水源；距离中心城区有一定距离，不会对中心城区产生较大影响，且能避免生活垃圾焚烧发电厂的废气、噪声对城市居民的干扰；目前现有污泥及餐厨处理项目，可以统一规划联合处理；并且东侧规划物流园，同时距离铁路、高速距离较近，运输条件佳。经过综合分析后厂址可以满足建设本项目的要求。</w:t>
      </w:r>
    </w:p>
    <w:p w14:paraId="427750F2">
      <w:pPr>
        <w:pStyle w:val="7"/>
        <w:ind w:firstLine="562"/>
        <w:rPr>
          <w:color w:val="000000" w:themeColor="text1"/>
          <w14:textFill>
            <w14:solidFill>
              <w14:schemeClr w14:val="tx1"/>
            </w14:solidFill>
          </w14:textFill>
        </w:rPr>
      </w:pPr>
      <w:bookmarkStart w:id="149" w:name="_Toc27829"/>
      <w:r>
        <w:rPr>
          <w:rFonts w:hint="eastAsia"/>
          <w:color w:val="000000" w:themeColor="text1"/>
          <w14:textFill>
            <w14:solidFill>
              <w14:schemeClr w14:val="tx1"/>
            </w14:solidFill>
          </w14:textFill>
        </w:rPr>
        <w:t>协同处理规划</w:t>
      </w:r>
      <w:bookmarkEnd w:id="149"/>
    </w:p>
    <w:p w14:paraId="7669238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各个城市固体废物推崇静脉化的产业园区，主张将多种固体废弃物的处理场地布置在一个园区内。按照“一园多区、集约协同、智慧运管、绿色循环”的理念，昆都仑区卜尔汉图镇包头市生活垃圾处理中心地块已经实施了初步规划。</w:t>
      </w:r>
    </w:p>
    <w:p w14:paraId="3A86286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将以填埋场和生活垃圾焚烧发电厂为核心，打造飞灰填埋场、餐厨厨余垃圾处理厂、大件垃圾、工业固废、建筑垃圾厂等多种废物处理集中处理的静脉产业园。园区规划图红线面积约1008878.46平方米（1512.56亩）。</w:t>
      </w:r>
    </w:p>
    <w:p w14:paraId="754E0336">
      <w:pPr>
        <w:pStyle w:val="6"/>
        <w:numPr>
          <w:ilvl w:val="3"/>
          <w:numId w:val="14"/>
        </w:numPr>
        <w:spacing w:before="156" w:after="156"/>
        <w:outlineLvl w:val="2"/>
        <w:rPr>
          <w:color w:val="000000" w:themeColor="text1"/>
          <w14:textFill>
            <w14:solidFill>
              <w14:schemeClr w14:val="tx1"/>
            </w14:solidFill>
          </w14:textFill>
        </w:rPr>
      </w:pPr>
      <w:bookmarkStart w:id="150" w:name="_Toc25731"/>
      <w:bookmarkStart w:id="151" w:name="_Toc22631"/>
      <w:r>
        <w:rPr>
          <w:color w:val="000000" w:themeColor="text1"/>
          <w14:textFill>
            <w14:solidFill>
              <w14:schemeClr w14:val="tx1"/>
            </w14:solidFill>
          </w14:textFill>
        </w:rPr>
        <w:t>建设工期</w:t>
      </w:r>
      <w:bookmarkEnd w:id="150"/>
      <w:bookmarkEnd w:id="151"/>
    </w:p>
    <w:p w14:paraId="4CDE2A79">
      <w:pPr>
        <w:ind w:firstLine="56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本项目建设期暂定为两（2）年，具体以特许经营协议约定为准。项目公司应在成立之初与</w:t>
      </w:r>
      <w:r>
        <w:rPr>
          <w:rFonts w:hint="eastAsia"/>
          <w:color w:val="000000" w:themeColor="text1"/>
          <w14:textFill>
            <w14:solidFill>
              <w14:schemeClr w14:val="tx1"/>
            </w14:solidFill>
          </w14:textFill>
        </w:rPr>
        <w:t>包头市城市管理局</w:t>
      </w:r>
      <w:r>
        <w:rPr>
          <w:color w:val="000000" w:themeColor="text1"/>
          <w14:textFill>
            <w14:solidFill>
              <w14:schemeClr w14:val="tx1"/>
            </w14:solidFill>
          </w14:textFill>
        </w:rPr>
        <w:t>协商确定本项目建设工程的关键工期及关键建设节点日期，并严格遵照执行。</w:t>
      </w:r>
      <w:r>
        <w:rPr>
          <w:rFonts w:hint="eastAsia"/>
          <w:color w:val="000000" w:themeColor="text1"/>
          <w14:textFill>
            <w14:solidFill>
              <w14:schemeClr w14:val="tx1"/>
            </w14:solidFill>
          </w14:textFill>
        </w:rPr>
        <w:t>项目主要时间节点如下：</w:t>
      </w:r>
    </w:p>
    <w:p w14:paraId="697676EE">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主要进度节点表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3266"/>
        <w:gridCol w:w="4096"/>
      </w:tblGrid>
      <w:tr w14:paraId="3CAA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shd w:val="clear" w:color="auto" w:fill="BDD6EE" w:themeFill="accent1" w:themeFillTint="66"/>
          </w:tcPr>
          <w:p w14:paraId="0210478A">
            <w:pPr>
              <w:keepNext w:val="0"/>
              <w:keepLines w:val="0"/>
              <w:suppressLineNumbers w:val="0"/>
              <w:spacing w:before="0" w:beforeAutospacing="0" w:after="0" w:afterAutospacing="0"/>
              <w:ind w:left="0" w:right="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序号</w:t>
            </w:r>
          </w:p>
        </w:tc>
        <w:tc>
          <w:tcPr>
            <w:tcW w:w="3266" w:type="dxa"/>
            <w:shd w:val="clear" w:color="auto" w:fill="BDD6EE" w:themeFill="accent1" w:themeFillTint="66"/>
          </w:tcPr>
          <w:p w14:paraId="45953BF8">
            <w:pPr>
              <w:keepNext w:val="0"/>
              <w:keepLines w:val="0"/>
              <w:suppressLineNumbers w:val="0"/>
              <w:spacing w:before="0" w:beforeAutospacing="0" w:after="0" w:afterAutospacing="0"/>
              <w:ind w:left="0" w:right="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主要内容</w:t>
            </w:r>
          </w:p>
        </w:tc>
        <w:tc>
          <w:tcPr>
            <w:tcW w:w="4096" w:type="dxa"/>
            <w:shd w:val="clear" w:color="auto" w:fill="BDD6EE" w:themeFill="accent1" w:themeFillTint="66"/>
          </w:tcPr>
          <w:p w14:paraId="092A73D7">
            <w:pPr>
              <w:keepNext w:val="0"/>
              <w:keepLines w:val="0"/>
              <w:suppressLineNumbers w:val="0"/>
              <w:spacing w:before="0" w:beforeAutospacing="0" w:after="0" w:afterAutospacing="0"/>
              <w:ind w:left="0" w:right="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时间节点</w:t>
            </w:r>
          </w:p>
        </w:tc>
      </w:tr>
      <w:tr w14:paraId="7541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16E3595D">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1</w:t>
            </w:r>
          </w:p>
        </w:tc>
        <w:tc>
          <w:tcPr>
            <w:tcW w:w="3266" w:type="dxa"/>
            <w:vAlign w:val="top"/>
          </w:tcPr>
          <w:p w14:paraId="123C1C13">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项目公司成立</w:t>
            </w:r>
          </w:p>
        </w:tc>
        <w:tc>
          <w:tcPr>
            <w:tcW w:w="4096" w:type="dxa"/>
            <w:vAlign w:val="top"/>
          </w:tcPr>
          <w:p w14:paraId="42BD8A6E">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《特许经营协议》签订后30日内完成</w:t>
            </w:r>
          </w:p>
        </w:tc>
      </w:tr>
      <w:tr w14:paraId="2B32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7913AC82">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kern w:val="2"/>
                <w:sz w:val="24"/>
                <w:szCs w:val="24"/>
                <w:lang w:val="en-US" w:eastAsia="zh-CN" w:bidi="ar"/>
              </w:rPr>
              <w:t>2</w:t>
            </w:r>
          </w:p>
        </w:tc>
        <w:tc>
          <w:tcPr>
            <w:tcW w:w="3266" w:type="dxa"/>
            <w:vAlign w:val="top"/>
          </w:tcPr>
          <w:p w14:paraId="02CDF124">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项目前期审批</w:t>
            </w:r>
          </w:p>
        </w:tc>
        <w:tc>
          <w:tcPr>
            <w:tcW w:w="4096" w:type="dxa"/>
            <w:vAlign w:val="top"/>
          </w:tcPr>
          <w:p w14:paraId="31A89393">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项目公司成立后</w:t>
            </w:r>
            <w:r>
              <w:rPr>
                <w:rFonts w:hint="eastAsia" w:ascii="仿宋" w:hAnsi="仿宋" w:cs="仿宋"/>
                <w:color w:val="000000"/>
                <w:kern w:val="2"/>
                <w:sz w:val="24"/>
                <w:szCs w:val="24"/>
                <w:lang w:val="en-US" w:eastAsia="zh-CN" w:bidi="ar"/>
              </w:rPr>
              <w:t>6</w:t>
            </w:r>
            <w:r>
              <w:rPr>
                <w:rFonts w:hint="eastAsia" w:ascii="仿宋" w:hAnsi="仿宋" w:eastAsia="仿宋" w:cs="仿宋"/>
                <w:color w:val="000000"/>
                <w:kern w:val="2"/>
                <w:sz w:val="24"/>
                <w:szCs w:val="24"/>
                <w:lang w:val="en-US" w:eastAsia="zh-CN" w:bidi="ar"/>
              </w:rPr>
              <w:t>个月内完成</w:t>
            </w:r>
          </w:p>
        </w:tc>
      </w:tr>
      <w:tr w14:paraId="593A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3E67309C">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3</w:t>
            </w:r>
          </w:p>
        </w:tc>
        <w:tc>
          <w:tcPr>
            <w:tcW w:w="3266" w:type="dxa"/>
            <w:vAlign w:val="top"/>
          </w:tcPr>
          <w:p w14:paraId="17C0AF02">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w:t>
            </w:r>
          </w:p>
        </w:tc>
        <w:tc>
          <w:tcPr>
            <w:tcW w:w="4096" w:type="dxa"/>
            <w:vAlign w:val="top"/>
          </w:tcPr>
          <w:p w14:paraId="5606AD80">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取得施工许可证一周内</w:t>
            </w:r>
          </w:p>
        </w:tc>
      </w:tr>
      <w:tr w14:paraId="5B1A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4602B453">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4</w:t>
            </w:r>
          </w:p>
        </w:tc>
        <w:tc>
          <w:tcPr>
            <w:tcW w:w="3266" w:type="dxa"/>
            <w:vAlign w:val="top"/>
          </w:tcPr>
          <w:p w14:paraId="70CCB2C9">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土建工程施工</w:t>
            </w:r>
          </w:p>
        </w:tc>
        <w:tc>
          <w:tcPr>
            <w:tcW w:w="4096" w:type="dxa"/>
            <w:vAlign w:val="top"/>
          </w:tcPr>
          <w:p w14:paraId="77F3B2AA">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项目开工后17个月内完成</w:t>
            </w:r>
          </w:p>
        </w:tc>
      </w:tr>
      <w:tr w14:paraId="1FE2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158EDE5B">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5</w:t>
            </w:r>
          </w:p>
        </w:tc>
        <w:tc>
          <w:tcPr>
            <w:tcW w:w="3266" w:type="dxa"/>
            <w:vAlign w:val="top"/>
          </w:tcPr>
          <w:p w14:paraId="24F51856">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设备购置</w:t>
            </w:r>
          </w:p>
        </w:tc>
        <w:tc>
          <w:tcPr>
            <w:tcW w:w="4096" w:type="dxa"/>
            <w:vAlign w:val="top"/>
          </w:tcPr>
          <w:p w14:paraId="69B35576">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初步设计批复后10个月内完成</w:t>
            </w:r>
          </w:p>
        </w:tc>
      </w:tr>
      <w:tr w14:paraId="132E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4CC46D80">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6</w:t>
            </w:r>
          </w:p>
        </w:tc>
        <w:tc>
          <w:tcPr>
            <w:tcW w:w="3266" w:type="dxa"/>
            <w:vAlign w:val="top"/>
          </w:tcPr>
          <w:p w14:paraId="26A9B772">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工程设备安装</w:t>
            </w:r>
          </w:p>
        </w:tc>
        <w:tc>
          <w:tcPr>
            <w:tcW w:w="4096" w:type="dxa"/>
            <w:vAlign w:val="top"/>
          </w:tcPr>
          <w:p w14:paraId="57EF5220">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项目开工后19个月内完成</w:t>
            </w:r>
          </w:p>
        </w:tc>
      </w:tr>
      <w:tr w14:paraId="409C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792EC61D">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7</w:t>
            </w:r>
          </w:p>
        </w:tc>
        <w:tc>
          <w:tcPr>
            <w:tcW w:w="3266" w:type="dxa"/>
            <w:vAlign w:val="top"/>
          </w:tcPr>
          <w:p w14:paraId="12733595">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机组调试</w:t>
            </w:r>
          </w:p>
        </w:tc>
        <w:tc>
          <w:tcPr>
            <w:tcW w:w="4096" w:type="dxa"/>
            <w:vAlign w:val="top"/>
          </w:tcPr>
          <w:p w14:paraId="68DB5018">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设备安装完成3个月内</w:t>
            </w:r>
          </w:p>
        </w:tc>
      </w:tr>
      <w:tr w14:paraId="75FC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54C15AA3">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8</w:t>
            </w:r>
          </w:p>
        </w:tc>
        <w:tc>
          <w:tcPr>
            <w:tcW w:w="3266" w:type="dxa"/>
            <w:vAlign w:val="top"/>
          </w:tcPr>
          <w:p w14:paraId="18BF12E8">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并网发电考核</w:t>
            </w:r>
          </w:p>
        </w:tc>
        <w:tc>
          <w:tcPr>
            <w:tcW w:w="4096" w:type="dxa"/>
            <w:vAlign w:val="top"/>
          </w:tcPr>
          <w:p w14:paraId="75451323">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点火烧垃圾后一周内完成</w:t>
            </w:r>
          </w:p>
        </w:tc>
      </w:tr>
      <w:tr w14:paraId="20F0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64DD1EFA">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kern w:val="2"/>
                <w:sz w:val="24"/>
                <w:szCs w:val="24"/>
                <w:lang w:val="en-US" w:eastAsia="zh-CN" w:bidi="ar"/>
              </w:rPr>
              <w:t>9</w:t>
            </w:r>
          </w:p>
        </w:tc>
        <w:tc>
          <w:tcPr>
            <w:tcW w:w="3266" w:type="dxa"/>
            <w:vAlign w:val="top"/>
          </w:tcPr>
          <w:p w14:paraId="11FA4340">
            <w:pPr>
              <w:keepNext w:val="0"/>
              <w:keepLines w:val="0"/>
              <w:widowControl w:val="0"/>
              <w:suppressLineNumbers w:val="0"/>
              <w:spacing w:before="0" w:beforeAutospacing="0" w:after="0" w:afterAutospacing="0" w:line="360" w:lineRule="auto"/>
              <w:ind w:left="0" w:leftChars="0" w:right="0" w:right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eastAsia="仿宋" w:cs="仿宋"/>
                <w:color w:val="000000"/>
                <w:kern w:val="2"/>
                <w:sz w:val="24"/>
                <w:szCs w:val="24"/>
                <w:lang w:val="en-US" w:eastAsia="zh-CN" w:bidi="ar"/>
              </w:rPr>
              <w:t>达标投产</w:t>
            </w:r>
          </w:p>
        </w:tc>
        <w:tc>
          <w:tcPr>
            <w:tcW w:w="4096" w:type="dxa"/>
            <w:vAlign w:val="top"/>
          </w:tcPr>
          <w:p w14:paraId="48F2AD57">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机组完成72+24小时试运行</w:t>
            </w:r>
          </w:p>
        </w:tc>
      </w:tr>
      <w:tr w14:paraId="6B5A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Align w:val="top"/>
          </w:tcPr>
          <w:p w14:paraId="0ECF4961">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eastAsia="仿宋" w:cs="仿宋"/>
                <w:color w:val="000000" w:themeColor="text1"/>
                <w:sz w:val="24"/>
                <w:szCs w:val="24"/>
                <w:lang w:val="en-US" w:eastAsia="zh-CN"/>
                <w14:textFill>
                  <w14:solidFill>
                    <w14:schemeClr w14:val="tx1"/>
                  </w14:solidFill>
                </w14:textFill>
              </w:rPr>
            </w:pPr>
            <w:bookmarkStart w:id="152" w:name="_Toc30192"/>
            <w:r>
              <w:rPr>
                <w:rFonts w:hint="eastAsia" w:ascii="仿宋" w:hAnsi="仿宋" w:eastAsia="仿宋" w:cs="仿宋"/>
                <w:color w:val="000000"/>
                <w:kern w:val="2"/>
                <w:sz w:val="24"/>
                <w:szCs w:val="24"/>
                <w:lang w:val="en-US" w:eastAsia="zh-CN" w:bidi="ar"/>
              </w:rPr>
              <w:t>1</w:t>
            </w:r>
            <w:r>
              <w:rPr>
                <w:rFonts w:hint="eastAsia" w:ascii="仿宋" w:hAnsi="仿宋" w:cs="仿宋"/>
                <w:color w:val="000000"/>
                <w:kern w:val="2"/>
                <w:sz w:val="24"/>
                <w:szCs w:val="24"/>
                <w:lang w:val="en-US" w:eastAsia="zh-CN" w:bidi="ar"/>
              </w:rPr>
              <w:t>0</w:t>
            </w:r>
          </w:p>
        </w:tc>
        <w:tc>
          <w:tcPr>
            <w:tcW w:w="3266" w:type="dxa"/>
            <w:vAlign w:val="top"/>
          </w:tcPr>
          <w:p w14:paraId="4DD896AD">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kern w:val="2"/>
                <w:sz w:val="24"/>
                <w:szCs w:val="24"/>
                <w:lang w:val="en-US" w:eastAsia="zh-CN" w:bidi="ar"/>
              </w:rPr>
              <w:t>移交生产</w:t>
            </w:r>
          </w:p>
        </w:tc>
        <w:tc>
          <w:tcPr>
            <w:tcW w:w="4096" w:type="dxa"/>
            <w:vAlign w:val="top"/>
          </w:tcPr>
          <w:p w14:paraId="29179335">
            <w:pPr>
              <w:keepNext w:val="0"/>
              <w:keepLines w:val="0"/>
              <w:widowControl w:val="0"/>
              <w:suppressLineNumbers w:val="0"/>
              <w:spacing w:before="0" w:beforeAutospacing="0" w:after="0" w:afterAutospacing="0" w:line="360" w:lineRule="auto"/>
              <w:ind w:left="0" w:leftChars="0" w:right="0" w:rightChars="0"/>
              <w:jc w:val="center"/>
              <w:rPr>
                <w:rFonts w:hint="default" w:ascii="仿宋" w:hAnsi="仿宋" w:cs="仿宋"/>
                <w:color w:val="000000" w:themeColor="text1"/>
                <w:sz w:val="24"/>
                <w:szCs w:val="24"/>
                <w:lang w:val="en-US"/>
                <w14:textFill>
                  <w14:solidFill>
                    <w14:schemeClr w14:val="tx1"/>
                  </w14:solidFill>
                </w14:textFill>
              </w:rPr>
            </w:pPr>
            <w:r>
              <w:rPr>
                <w:rFonts w:hint="eastAsia" w:ascii="仿宋" w:hAnsi="仿宋" w:eastAsia="仿宋" w:cs="仿宋"/>
                <w:color w:val="000000"/>
                <w:kern w:val="2"/>
                <w:sz w:val="24"/>
                <w:szCs w:val="24"/>
                <w:lang w:val="en-US" w:eastAsia="zh-CN" w:bidi="ar"/>
              </w:rPr>
              <w:t>72+24小时试运行后6个月</w:t>
            </w:r>
          </w:p>
        </w:tc>
      </w:tr>
    </w:tbl>
    <w:p w14:paraId="4E23F6F7">
      <w:pPr>
        <w:pStyle w:val="6"/>
        <w:numPr>
          <w:ilvl w:val="3"/>
          <w:numId w:val="14"/>
        </w:numPr>
        <w:spacing w:before="156" w:after="156"/>
        <w:outlineLvl w:val="2"/>
        <w:rPr>
          <w:color w:val="000000" w:themeColor="text1"/>
          <w14:textFill>
            <w14:solidFill>
              <w14:schemeClr w14:val="tx1"/>
            </w14:solidFill>
          </w14:textFill>
        </w:rPr>
      </w:pPr>
      <w:bookmarkStart w:id="153" w:name="_Toc6176"/>
      <w:r>
        <w:rPr>
          <w:rFonts w:hint="eastAsia"/>
          <w:color w:val="000000" w:themeColor="text1"/>
          <w14:textFill>
            <w14:solidFill>
              <w14:schemeClr w14:val="tx1"/>
            </w14:solidFill>
          </w14:textFill>
        </w:rPr>
        <w:t>建设方案</w:t>
      </w:r>
      <w:bookmarkEnd w:id="152"/>
      <w:bookmarkEnd w:id="153"/>
    </w:p>
    <w:p w14:paraId="54C643A9">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总平面布置</w:t>
      </w:r>
    </w:p>
    <w:p w14:paraId="551E93BE">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设计标准</w:t>
      </w:r>
    </w:p>
    <w:p w14:paraId="1116C8B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《生活垃圾焚烧处理工程项目建设标准》（建标[2010]142号）；</w:t>
      </w:r>
    </w:p>
    <w:p w14:paraId="321E4B5A">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《生活垃圾焚烧污染控制标准》（GB18485-2014）；</w:t>
      </w:r>
    </w:p>
    <w:p w14:paraId="4F3D8ABE">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《生活垃圾焚烧处理工程技术规范》（CJJ90-2009）；</w:t>
      </w:r>
    </w:p>
    <w:p w14:paraId="07008D11">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《生活垃圾填埋场污染控制标准》（GB16889-2008）；</w:t>
      </w:r>
    </w:p>
    <w:p w14:paraId="3B308A2F">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《城市环境卫生设施规划标准》（GB/T50337-2018）；</w:t>
      </w:r>
    </w:p>
    <w:p w14:paraId="5032121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《环境卫生设施设置标准》（CJJ27-2012）；</w:t>
      </w:r>
    </w:p>
    <w:p w14:paraId="2BEC5D69">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《环境空气质量标准》第1号修改单（GB3095-2012/XG1-2018）；</w:t>
      </w:r>
    </w:p>
    <w:p w14:paraId="25C85E50">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《大气污染物综合排放标准》（GB16297-1996）；</w:t>
      </w:r>
    </w:p>
    <w:p w14:paraId="12D6DC63">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《恶臭污染物排放标准》（GB14554-93）；</w:t>
      </w:r>
    </w:p>
    <w:p w14:paraId="57D173B7">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《污水综合排放标准》（GB8978-1996）；</w:t>
      </w:r>
    </w:p>
    <w:p w14:paraId="195124B3">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w:t>
      </w:r>
    </w:p>
    <w:p w14:paraId="58F9AC1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《地下水质量标准》（GB/T14848-2017）；</w:t>
      </w:r>
    </w:p>
    <w:p w14:paraId="7D4C9A2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《工业企业厂界环境噪声排放标准》（GB12348-2008）；</w:t>
      </w:r>
    </w:p>
    <w:p w14:paraId="7EC24D76">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《声环境质量标准》（GB3096-2008）；</w:t>
      </w:r>
    </w:p>
    <w:p w14:paraId="7F22A7C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《小型火力发电厂设计规范》（GB50049-2011）；</w:t>
      </w:r>
    </w:p>
    <w:p w14:paraId="6F8B0CC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《火力发电厂汽水管道设计规范》（DL/T5054-2016）；</w:t>
      </w:r>
    </w:p>
    <w:p w14:paraId="4477056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《火力发电机组及蒸汽动力设备水汽质量》（GB12145-2016）；</w:t>
      </w:r>
    </w:p>
    <w:p w14:paraId="25169CF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《火力发电厂与变电站设计防火标准》（GB50229-2019）；</w:t>
      </w:r>
    </w:p>
    <w:p w14:paraId="6F90FFE1">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《工业企业总平面设计规范》（GB50187-2012）；</w:t>
      </w:r>
    </w:p>
    <w:p w14:paraId="28B54B82">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《厂矿道路设计规范》（GBJ22-87）；</w:t>
      </w:r>
    </w:p>
    <w:p w14:paraId="4E1E7BF0">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《建筑设计防火规范》（GB50016-2014）（2018年版）；</w:t>
      </w:r>
    </w:p>
    <w:p w14:paraId="02858B7F">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《民用建筑设计统一标准》GB50352-2019</w:t>
      </w:r>
    </w:p>
    <w:p w14:paraId="58452A6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《宿舍建筑设计规范》（JGJ36-2016）</w:t>
      </w:r>
    </w:p>
    <w:p w14:paraId="707986A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《饮食建筑设计标准》JGJ64-2017</w:t>
      </w:r>
    </w:p>
    <w:p w14:paraId="012F39C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《工业建筑供暖通风与空气调节设计规范》（GB50019-2015）；</w:t>
      </w:r>
    </w:p>
    <w:p w14:paraId="0BC7D52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《民用建筑电气设计标准》（GB51348-2019）；</w:t>
      </w:r>
    </w:p>
    <w:p w14:paraId="0C49989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《电力工程电缆设计标准》（GB50217-2018）；</w:t>
      </w:r>
    </w:p>
    <w:p w14:paraId="7E704A4F">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《20KV及以下变电所设计规范》（GB50053-2013）；</w:t>
      </w:r>
    </w:p>
    <w:p w14:paraId="34DFB2A5">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《建筑物防雷设计规范》（GB50057-2010）；</w:t>
      </w:r>
    </w:p>
    <w:p w14:paraId="04D5426E">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《建筑机电工程抗震设计规范》（GB50981-2014）；</w:t>
      </w:r>
    </w:p>
    <w:p w14:paraId="04622B50">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《发电厂和变电站照明设计技术规定》DLT5390-2014；</w:t>
      </w:r>
    </w:p>
    <w:p w14:paraId="45245C20">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《建筑节能与可再生能源利用通用规范》（GB55015-2021）；</w:t>
      </w:r>
    </w:p>
    <w:p w14:paraId="1EEF1D15">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《消防应急照明与疏散指示系统技术标准》（GB51309-2018）；</w:t>
      </w:r>
    </w:p>
    <w:p w14:paraId="563B5FD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《供配电系统设计规范》（GB50052-2009）；</w:t>
      </w:r>
    </w:p>
    <w:p w14:paraId="3ED93B5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《低压配电设计规范》（GB50054-2011）；</w:t>
      </w:r>
    </w:p>
    <w:p w14:paraId="2EC71A5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《工业建筑防腐蚀设计规范》（GB50046-2018）；</w:t>
      </w:r>
    </w:p>
    <w:p w14:paraId="274AD80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《工业企业设计卫生标准》（GBZ1-2010）；</w:t>
      </w:r>
    </w:p>
    <w:p w14:paraId="7D4F06A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《火力发电厂汽水管道设计规范》（DL／T5054-2016）；</w:t>
      </w:r>
    </w:p>
    <w:p w14:paraId="5BBFC4CE">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《生活垃圾焚烧炉及余热锅炉》（GB/T18750-2022）；</w:t>
      </w:r>
    </w:p>
    <w:p w14:paraId="66EE083F">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《安全防范工程技术标准》（GB50348-2018）；</w:t>
      </w:r>
    </w:p>
    <w:p w14:paraId="54BF4AE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《工程结构通用规范》（GB55001-2021）；</w:t>
      </w:r>
    </w:p>
    <w:p w14:paraId="49AA5178">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《建筑与市政工程抗震通用规范》（GB55002-2021）；</w:t>
      </w:r>
    </w:p>
    <w:p w14:paraId="26044D99">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《建筑与市政地基基础通用规范》（GB55003-2021）；</w:t>
      </w:r>
    </w:p>
    <w:p w14:paraId="0E21BAB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《钢结构通用规范》（GB55006-2021）；</w:t>
      </w:r>
    </w:p>
    <w:p w14:paraId="3F054AB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《砌体结构通用规范》（GB55007-2021）；</w:t>
      </w:r>
    </w:p>
    <w:p w14:paraId="4910EDF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《混凝土结构通用规范》（GB55008-2021）；</w:t>
      </w:r>
    </w:p>
    <w:p w14:paraId="29868E4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《生活垃圾处理处置工程项目规范》（GB55012-2021）；</w:t>
      </w:r>
    </w:p>
    <w:p w14:paraId="2A0DEAD4">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《建筑节能与可再生能源利用通用规范》（GB55015-2021）；</w:t>
      </w:r>
    </w:p>
    <w:p w14:paraId="72F68C19">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《建筑环境通用规范》（GB55016-2021）；</w:t>
      </w:r>
    </w:p>
    <w:p w14:paraId="7769870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《建筑与市政工程无障碍通用规范》（GB55019-2021）；</w:t>
      </w:r>
    </w:p>
    <w:p w14:paraId="266EF430">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《建筑给水排水与节水通用规范》（GB55020-2021）；</w:t>
      </w:r>
    </w:p>
    <w:p w14:paraId="099A8FA9">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《建筑电气与智能化通用规范》（GB55024-2022）；</w:t>
      </w:r>
    </w:p>
    <w:p w14:paraId="0985FF0B">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《建筑与市政工程防水通用规范》（GB55030-2022）；</w:t>
      </w:r>
    </w:p>
    <w:p w14:paraId="749608C2">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《建筑防火通用规范》（GB55037-2022）</w:t>
      </w:r>
    </w:p>
    <w:p w14:paraId="3ADAEA6C">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《生活垃圾焚烧发电建设项目环境准入条件（试行）》环办环评[2018]20号；</w:t>
      </w:r>
    </w:p>
    <w:p w14:paraId="7B5FF318">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《火力发电厂可行性研究报告内容深度规定》DLT5375-2018</w:t>
      </w:r>
    </w:p>
    <w:p w14:paraId="2AFDD2F6">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《无障碍设计规范》GB50763-2012</w:t>
      </w:r>
    </w:p>
    <w:p w14:paraId="6692E8ED">
      <w:pPr>
        <w:numPr>
          <w:ilvl w:val="0"/>
          <w:numId w:val="22"/>
        </w:numPr>
        <w:tabs>
          <w:tab w:val="left" w:pos="0"/>
        </w:tabs>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其他相关国家及地方标准、规范、定额等。</w:t>
      </w:r>
    </w:p>
    <w:p w14:paraId="2CFEC9D4">
      <w:pPr>
        <w:tabs>
          <w:tab w:val="left" w:pos="0"/>
        </w:tabs>
        <w:ind w:left="56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以上标准规范如有更新以最新版为准。</w:t>
      </w:r>
    </w:p>
    <w:p w14:paraId="45919BEA">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设计原则</w:t>
      </w:r>
    </w:p>
    <w:p w14:paraId="7E1727EF">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满足生产工艺和各设施功能要求；</w:t>
      </w:r>
    </w:p>
    <w:p w14:paraId="59640A69">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功能分区及布局合理，节约使用土地；</w:t>
      </w:r>
    </w:p>
    <w:p w14:paraId="6DF05175">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道路设置顺畅，满足消防、物料输送及人流通行疏散需求；</w:t>
      </w:r>
    </w:p>
    <w:p w14:paraId="3771E440">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竖向设计合理，便于场地排水，减少土石方工程量；</w:t>
      </w:r>
    </w:p>
    <w:p w14:paraId="274E30B6">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合理布置厂区管网，力求管网短捷顺畅；</w:t>
      </w:r>
    </w:p>
    <w:p w14:paraId="7DAF7833">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妥善处理好本项目与周边环境的适应性，为以后扩建留有余地；</w:t>
      </w:r>
    </w:p>
    <w:p w14:paraId="4FA344AC">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创造良好的生产环境、生活绿化，以降低各类污染；</w:t>
      </w:r>
    </w:p>
    <w:p w14:paraId="458E55F9">
      <w:pPr>
        <w:numPr>
          <w:ilvl w:val="0"/>
          <w:numId w:val="2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满足国家现行的防火、卫生、安全等技术规程及其它技术规范要求。</w:t>
      </w:r>
    </w:p>
    <w:p w14:paraId="008502FC">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建筑构思</w:t>
      </w:r>
    </w:p>
    <w:p w14:paraId="09D022A4">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生活垃圾焚烧发电厂随着我国城市现代化建设和环境保护的要求，在许多大、中城市不断建成，其中焚烧发电厂房庞大的建筑体量和高耸的烟囱必然成为城市环境中的一个焦点。</w:t>
      </w:r>
    </w:p>
    <w:p w14:paraId="10CD9DB0">
      <w:pPr>
        <w:ind w:firstLine="560" w:firstLineChars="20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本项目作为包头市未来静脉产业园固体废弃物综合处理项目的关键一环，设计理念立足于创造一个简洁、大方的形象，体现现代工业建筑的力量、节奏、美感。</w:t>
      </w:r>
    </w:p>
    <w:p w14:paraId="3B271914">
      <w:pPr>
        <w:pStyle w:val="12"/>
        <w:numPr>
          <w:ilvl w:val="0"/>
          <w:numId w:val="24"/>
        </w:num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整体构思</w:t>
      </w:r>
    </w:p>
    <w:p w14:paraId="65F9F5EF">
      <w:pPr>
        <w:pStyle w:val="1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包头市生活垃圾焚烧发电项目是一座具有现代生产技术设备的建筑群体，设计构思以强烈的个性、简洁明快的立面造型给人以深刻的印象，展示现代工业建筑的速度与效率，以及垃圾回收、利用、循环、再生的处理方针。</w:t>
      </w:r>
    </w:p>
    <w:p w14:paraId="415CB5EE">
      <w:pPr>
        <w:pStyle w:val="1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生活垃圾焚烧厂是一项环境保护工程，随着我国城市现代化建设和环境保护的提高，垃圾焚烧发电厂建筑体量已成为城市环境建设中的一个焦点。本厂区设计力争在设计质量、水平上都有所提高创新，使该工程成为具有现代化、生态型的大型综合厂区，并使之成为当地一处地标型建筑。</w:t>
      </w:r>
    </w:p>
    <w:p w14:paraId="1CBC38B7">
      <w:pPr>
        <w:pStyle w:val="12"/>
        <w:numPr>
          <w:ilvl w:val="0"/>
          <w:numId w:val="24"/>
        </w:num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建筑特点</w:t>
      </w:r>
    </w:p>
    <w:p w14:paraId="7BD8825E">
      <w:pPr>
        <w:pStyle w:val="1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主厂房是厂区内体量及高度最大的建筑单体，为全厂的核心建筑。建筑造型既要与综合楼在建筑符号及建筑色彩上取得一致，又要突出自己的风格。</w:t>
      </w:r>
    </w:p>
    <w:p w14:paraId="3C0E51B3">
      <w:pPr>
        <w:pStyle w:val="1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综合主厂房作为全厂一个非常重要突出的标志性建筑物，建筑造型设计时，充分考虑垃圾生产工艺的功能需要，以简洁、实用、高效的形象，体现工业建筑的韵律、简练和美感。在建筑材料的选用上采用性能优良的节能、环保型建材。</w:t>
      </w:r>
    </w:p>
    <w:p w14:paraId="0C611C1E">
      <w:pPr>
        <w:pStyle w:val="1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主厂房主体造型须紧密结合功能，利用功能所形成的高低错落、相互穿插的体型特点，同时在尽量使用严谨方正的形体，又须考虑减少巨大体量带来的压抑感，对立面进行设计，使整个形体充满灵动之感，和高耸挺拔的烟囱组成丰富的天际轮廓线。大空间的车间考虑使用金属桁架结构，压型钢板屋面，突出特点，创造新意，体现工业建筑的性质。</w:t>
      </w:r>
    </w:p>
    <w:p w14:paraId="04806772">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设计内容</w:t>
      </w:r>
    </w:p>
    <w:p w14:paraId="4D0D2AE6">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全厂新建建、构筑物由主要生产设施、生产管理用房组成。</w:t>
      </w:r>
    </w:p>
    <w:p w14:paraId="0D339306">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主要生产设施</w:t>
      </w:r>
    </w:p>
    <w:p w14:paraId="0E9BFC03">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包括综合主厂房（垃圾卸料大厅、垃圾池、焚烧锅炉间、烟气净化间、汽机间、主控楼等），综合水泵房、循环冷却水塔（集水池）、工业消防水池、初期雨水收集池、油库油泵房、烟囱、上料坡道、人流门卫、地磅房、飞灰暂存及危废间、净水站、工业废水处理站及渗沥液处理站等。</w:t>
      </w:r>
    </w:p>
    <w:p w14:paraId="111FC6B9">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焚烧发电厂房位于全厂区靠近东侧位置，按工艺流程分成垃圾卸料大厅、垃圾池、焚烧锅炉间、烟气净化间、汽机间、主控楼、等6个部分展开，室内按钢筋混凝土平台及疏散走廊计算共有6个标高。汽轮发电机组位于主厂房南部。焚烧锅炉间、烟气净化间为钢结构，其它部分为钢筋混凝土框架结构。钢结构屋顶采用大跨度钢屋架和钢梁，双层压型钢板复合保温屋面，屋顶设有采光带，厂房纵剖面的屋面可满足室内各种设备及空间的不同高度要求。</w:t>
      </w:r>
    </w:p>
    <w:p w14:paraId="0B17739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焚烧发电厂房在标高7.00m层设有封闭的参观走廊，可以方便参观卸料大厅、焚烧锅炉间、汽机间、中央控制及烟气净化间净化间等各部位。</w:t>
      </w:r>
    </w:p>
    <w:p w14:paraId="1DB9125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中央控制位于焚烧发电厂房南侧，位于7.00m标高，靠近主厂房汽轮发电机组部分。</w:t>
      </w:r>
    </w:p>
    <w:p w14:paraId="600046F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烟囱位于主厂房西侧，烟囱暂定高80米，钢筋混凝土外框内置钢烟囱。烟囱造型动感十足，既与整个建筑相协调又为建筑整体增色不少。</w:t>
      </w:r>
    </w:p>
    <w:p w14:paraId="05AFBC57">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高架引桥位于垃圾卸料大厅北侧，靠近全厂物流进出口。</w:t>
      </w:r>
    </w:p>
    <w:p w14:paraId="41D90F13">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生产管理用房</w:t>
      </w:r>
    </w:p>
    <w:p w14:paraId="3F2431F4">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地磅房位于场地西北侧，作为全厂垃圾车及物流进出口，线路简洁，管理方便。</w:t>
      </w:r>
    </w:p>
    <w:p w14:paraId="6A9D469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人流门卫位于场地东南角，靠近主厂房主控楼入口，方便工作人员上班同时方便参观人流的进入。</w:t>
      </w:r>
    </w:p>
    <w:p w14:paraId="2EAAE13C">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宿舍及食堂位于场地东侧，靠近主厂房主控楼入口，方便倒班工作人员休息及就餐。</w:t>
      </w:r>
    </w:p>
    <w:p w14:paraId="6C8F795C">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参观通道设计</w:t>
      </w:r>
    </w:p>
    <w:p w14:paraId="572FB1F6">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为了使参观者更全面更深入地了解垃圾焚烧全过程，本主厂房内设有三层参观者通道，即：0.00m层（大堂）、7.00m层（锅炉运转层）和22.90m层（上料层）均设有参观者通道。参观路线为：大堂展示厅→垃圾池/垃圾吊→焚烧炉→余热锅炉→烟气净化系统→汽轮发电机→中央控制室。</w:t>
      </w:r>
    </w:p>
    <w:p w14:paraId="5BCB07C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参观通道本着“自然通风、隔窗观望”的原则，参观者先进入环保宣传教育展示厅了解先进的垃圾焚烧处理方法和进行多媒体展示给参观者感性的认识。然后参观者进入主厂房内参观者通道，可以从7.00m层参观者通道内看到全厂主要设备的运行情况包括垃圾池/垃圾吊、焚烧炉、余热锅炉、烟气净化、中控室设备等运行情况。在22.90m层的参观者通道内看到抓吊控制室并可在抓吊控制室内俯视整个垃圾贮坑内情况及垃圾抓斗的运作过程。</w:t>
      </w:r>
    </w:p>
    <w:p w14:paraId="16F730B9">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消防设计</w:t>
      </w:r>
    </w:p>
    <w:p w14:paraId="2414D63E">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内局部平台层数为五层，最高处平台25.0m，厂房高度47.7m(算至女儿墙)，防火类别为丁类，防火分区参照《生活垃圾焚烧处理工程技术规范》（CJJ90-2009）分为4个，分别为：焚烧车间及烟气净化间部分；垃圾池以及卸料平台；卸料平台下部分；汽机除氧间及主控楼。各防火分区间采用防火墙分隔，防火分区之间用防火墙、甲级防火门窗分割，管道穿过防火分区，自设封闭系统。</w:t>
      </w:r>
    </w:p>
    <w:p w14:paraId="4E6BC25E">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综合主厂房的耐火等级为二级。</w:t>
      </w:r>
    </w:p>
    <w:p w14:paraId="170C72A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安全疏散：卸料平台下部分均采用直通室外出口；焚烧主厂房可通过疏散楼梯直通至室外。焚烧主厂房中余热锅炉平台下各层均可经由楼梯通至室外；汽机除氧间有两部疏散楼梯直通室外；单个卸料平台经由两部疏散楼梯通直室外；垃圾吊控制室可经由楼梯疏散，满足防火要求。</w:t>
      </w:r>
    </w:p>
    <w:p w14:paraId="53985194">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生产管理用房，各建筑单体均为一个防火分区，安全疏散满足《建筑设计防火规范》要求。</w:t>
      </w:r>
    </w:p>
    <w:p w14:paraId="157E88D7">
      <w:pPr>
        <w:numPr>
          <w:ilvl w:val="0"/>
          <w:numId w:val="25"/>
        </w:numPr>
        <w:tabs>
          <w:tab w:val="left" w:pos="847"/>
        </w:tabs>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ab/>
      </w:r>
      <w:r>
        <w:rPr>
          <w:rFonts w:hint="eastAsia" w:ascii="仿宋" w:hAnsi="仿宋" w:cs="仿宋"/>
          <w:color w:val="000000" w:themeColor="text1"/>
          <w14:textFill>
            <w14:solidFill>
              <w14:schemeClr w14:val="tx1"/>
            </w14:solidFill>
          </w14:textFill>
        </w:rPr>
        <w:t>采光、通风设计</w:t>
      </w:r>
    </w:p>
    <w:p w14:paraId="32544D1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综合主厂房为空旷厂房，内部采光主要依靠侧窗及屋面天窗自然采光，同时局部厂房内部空间采用人工照明补充照明。</w:t>
      </w:r>
    </w:p>
    <w:p w14:paraId="671D380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采用自然通风与机械通风相结合方式，汽机除氧间、烟气净化间以及焚烧锅炉间开设进风百叶、平开窗等自然进风，屋面设置可自动启闭的天窗自然通风，使气流贯通厂房空间。除自然通风外部分内部用房采用机械通风。</w:t>
      </w:r>
    </w:p>
    <w:p w14:paraId="66FC315F">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屋面排水设计</w:t>
      </w:r>
    </w:p>
    <w:p w14:paraId="73FF03DE">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体量较大，屋面汇水面积很大，本建筑拟采用重力排水与虹吸排水相结合的屋面排水方案。主控楼和除氧间屋面面积不大，采用重力排水；参观通道采用重力排水；汽机屋面、卸料平台屋面、烟气净化车间屋面、焚烧车间屋面、垃圾池屋面均采用虹吸排水。</w:t>
      </w:r>
    </w:p>
    <w:p w14:paraId="19444D3E">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无障碍设计</w:t>
      </w:r>
    </w:p>
    <w:p w14:paraId="6C540515">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垃圾处理工业建筑的工艺性质决定，经常需要工人登高检修。对控制室操作人员视、听能力也有较高要求。厂区不适合残疾人就业，故暂不考虑无障碍设计。</w:t>
      </w:r>
    </w:p>
    <w:p w14:paraId="6E53F45B">
      <w:pPr>
        <w:numPr>
          <w:ilvl w:val="0"/>
          <w:numId w:val="25"/>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外墙材料的选择</w:t>
      </w:r>
    </w:p>
    <w:p w14:paraId="25D23F78">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对材料选择本着适用，经济，绿色以及美观的原则。外墙材料拟主要采用蒸压加气混凝土砌块，外喷高级外墙-涂料或外挂彩钢板。烟气净化间及焚烧间采用钢结构，外维护采用双层复合压型彩钢板。</w:t>
      </w:r>
    </w:p>
    <w:p w14:paraId="0DD9B48A">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具体布置</w:t>
      </w:r>
    </w:p>
    <w:p w14:paraId="73EFD2B8">
      <w:pPr>
        <w:keepNext/>
        <w:keepLines/>
        <w:pageBreakBefore w:val="0"/>
        <w:widowControl w:val="0"/>
        <w:numPr>
          <w:ilvl w:val="0"/>
          <w:numId w:val="26"/>
        </w:numPr>
        <w:kinsoku/>
        <w:wordWrap/>
        <w:overflowPunct/>
        <w:topLinePunct w:val="0"/>
        <w:autoSpaceDE/>
        <w:autoSpaceDN/>
        <w:bidi w:val="0"/>
        <w:adjustRightInd/>
        <w:snapToGrid/>
        <w:ind w:firstLine="560"/>
        <w:textAlignment w:val="auto"/>
        <w:outlineLvl w:val="9"/>
        <w:rPr>
          <w:color w:val="000000" w:themeColor="text1"/>
          <w14:textFill>
            <w14:solidFill>
              <w14:schemeClr w14:val="tx1"/>
            </w14:solidFill>
          </w14:textFill>
        </w:rPr>
      </w:pPr>
      <w:bookmarkStart w:id="154" w:name="_Toc31644"/>
      <w:r>
        <w:rPr>
          <w:rFonts w:hint="eastAsia"/>
          <w:color w:val="000000" w:themeColor="text1"/>
          <w14:textFill>
            <w14:solidFill>
              <w14:schemeClr w14:val="tx1"/>
            </w14:solidFill>
          </w14:textFill>
        </w:rPr>
        <w:t>平面布置</w:t>
      </w:r>
      <w:bookmarkEnd w:id="154"/>
    </w:p>
    <w:p w14:paraId="5273CCB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区分为主要生产区、辅助生产区及行政管理区。主要生产区由焚烧主厂房、烟囱、上料坡道组成；辅助生产区由综合水泵房、冷却塔、工业消防水池、油泵房及地下油罐、地磅房、渗沥液处理站等组成；厂前绿化区由门卫及厂前景观组成。</w:t>
      </w:r>
    </w:p>
    <w:p w14:paraId="3F81434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合主厂房是焚烧发电厂的核心设施和主体建筑，考虑垃圾运输顺畅、工艺流程合理及当地主导风向等因素，将主厂房布置在厂区东部，主立面面向南侧厂外道路方向。原生垃圾经上料坡道进入卸料平台，焚烧工艺流程由东向西延伸。负责物料称量的地磅房兼门卫布置在厂区西北侧的物流出入口。冷却塔，综合水泵房等水工设施布置在主厂房的西侧，靠近主厂房汽轮机间；以便节省管线距离，降低工程投资。飞灰暂存间、油泵房、地下油罐布置在厂区最西侧。渗沥液处理站一期和二期预留部分布置在主厂房西北侧，既满足工艺流程，又距离厂前区、综合主厂房主立面方向较远。厂区南侧设置了集中景观绿化带，优化厂区环境，形成良好的厂前景观。</w:t>
      </w:r>
      <w:r>
        <w:rPr>
          <w:rFonts w:hint="eastAsia"/>
          <w:color w:val="000000" w:themeColor="text1"/>
          <w14:textFill>
            <w14:solidFill>
              <w14:schemeClr w14:val="tx1"/>
            </w14:solidFill>
          </w14:textFill>
        </w:rPr>
        <w:t>宿舍食堂位于厂区东侧，靠近厂外道路。</w:t>
      </w:r>
      <w:r>
        <w:rPr>
          <w:color w:val="000000" w:themeColor="text1"/>
          <w14:textFill>
            <w14:solidFill>
              <w14:schemeClr w14:val="tx1"/>
            </w14:solidFill>
          </w14:textFill>
        </w:rPr>
        <w:t>本项目厂区内不单独设置办公楼、宿舍楼等设施。</w:t>
      </w:r>
    </w:p>
    <w:p w14:paraId="5CFFAB00">
      <w:pPr>
        <w:keepNext/>
        <w:keepLines/>
        <w:pageBreakBefore w:val="0"/>
        <w:widowControl w:val="0"/>
        <w:numPr>
          <w:ilvl w:val="0"/>
          <w:numId w:val="26"/>
        </w:numPr>
        <w:kinsoku/>
        <w:wordWrap/>
        <w:overflowPunct/>
        <w:topLinePunct w:val="0"/>
        <w:autoSpaceDE/>
        <w:autoSpaceDN/>
        <w:bidi w:val="0"/>
        <w:adjustRightInd/>
        <w:snapToGrid/>
        <w:ind w:firstLine="560"/>
        <w:textAlignment w:val="auto"/>
        <w:outlineLvl w:val="9"/>
        <w:rPr>
          <w:rFonts w:hint="eastAsia"/>
          <w:color w:val="000000" w:themeColor="text1"/>
          <w14:textFill>
            <w14:solidFill>
              <w14:schemeClr w14:val="tx1"/>
            </w14:solidFill>
          </w14:textFill>
        </w:rPr>
      </w:pPr>
      <w:bookmarkStart w:id="155" w:name="_Toc10400"/>
      <w:r>
        <w:rPr>
          <w:rFonts w:hint="eastAsia"/>
          <w:color w:val="000000" w:themeColor="text1"/>
          <w14:textFill>
            <w14:solidFill>
              <w14:schemeClr w14:val="tx1"/>
            </w14:solidFill>
          </w14:textFill>
        </w:rPr>
        <w:t>管线综合</w:t>
      </w:r>
      <w:bookmarkEnd w:id="155"/>
    </w:p>
    <w:p w14:paraId="57500A8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工程管线种类较多，布置时为方便施工、检修和不影响交通，地下管线尽可能不布置在交通频繁的机动车道下面，在用地紧张地段，部分管线布置在道路路面以下，但其管线埋深满足道路荷载要求，管线按自建筑基础开始向外由近及远、由浅至深的顺序布置，且与场地总平面的建筑物、道路、广场、停车场和绿化景观相协调，管线之间也相互协调、紧凑合理，不影响交通、采光、景观与建筑安全。</w:t>
      </w:r>
    </w:p>
    <w:p w14:paraId="34B0834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管线敷设产生矛盾时，按规范中管线避让的原则处理，如压力管道让重力自流管道、可弯曲管线让难弯曲或不易弯曲管线、分支管线让主干管线。</w:t>
      </w:r>
    </w:p>
    <w:p w14:paraId="72A846E0">
      <w:pPr>
        <w:keepNext/>
        <w:keepLines/>
        <w:pageBreakBefore w:val="0"/>
        <w:widowControl w:val="0"/>
        <w:numPr>
          <w:ilvl w:val="0"/>
          <w:numId w:val="26"/>
        </w:numPr>
        <w:kinsoku/>
        <w:wordWrap/>
        <w:overflowPunct/>
        <w:topLinePunct w:val="0"/>
        <w:autoSpaceDE/>
        <w:autoSpaceDN/>
        <w:bidi w:val="0"/>
        <w:adjustRightInd/>
        <w:snapToGrid/>
        <w:ind w:firstLine="560"/>
        <w:textAlignment w:val="auto"/>
        <w:outlineLvl w:val="9"/>
        <w:rPr>
          <w:rFonts w:hint="eastAsia"/>
          <w:color w:val="000000" w:themeColor="text1"/>
          <w14:textFill>
            <w14:solidFill>
              <w14:schemeClr w14:val="tx1"/>
            </w14:solidFill>
          </w14:textFill>
        </w:rPr>
      </w:pPr>
      <w:bookmarkStart w:id="156" w:name="_Toc25558"/>
      <w:r>
        <w:rPr>
          <w:rFonts w:hint="eastAsia"/>
          <w:color w:val="000000" w:themeColor="text1"/>
          <w14:textFill>
            <w14:solidFill>
              <w14:schemeClr w14:val="tx1"/>
            </w14:solidFill>
          </w14:textFill>
        </w:rPr>
        <w:t>道路与运输</w:t>
      </w:r>
      <w:bookmarkEnd w:id="156"/>
    </w:p>
    <w:p w14:paraId="3CB3FFA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区生产和辅助生产运输均以汽车运输为主。厂区设两个出入口，分别为人流出入口和物流出入口，以实现人、物分流。人流出入口位于厂区东南侧，物流出入口位于厂区西北侧。为满足生产、行政运输和消防的需要，厂区内设置环形道路通向各车间，以满足消防和各种生产及辅助生产物料运输的需求。根据主厂房卸料平台的高度，设置高架引桥通往卸料平台。厂区设计道路为城市型道路，双车道路面宽7.0米，单车道路面宽4.0米。</w:t>
      </w:r>
    </w:p>
    <w:p w14:paraId="6063824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运输车经厂区物流出入口经称量后通过垃圾运输通道及上料坡道进入主厂房卸料大厅，空车亦经原路返回出厂；灰渣车经厂内道路通过物流出入口进出厂，主厂房内设有灰渣通道，灰渣车可在厂房南侧进入厂房，出厂房后经地磅，重新进入厂区去往炉渣填埋场。其它辅助生产资料运输均通过人流和物流出入口进厂经厂内道路到各车间；行政管理车辆、生活资料运输及人员由人流出入口进出厂。消防车可经厂区人流、物流出入口进出厂，通过厂区内的环形通道通达到各车间、设施、场地。另外在厂前绿化区设置了行政用车停车场。</w:t>
      </w:r>
    </w:p>
    <w:p w14:paraId="648AE5F7">
      <w:pPr>
        <w:keepNext/>
        <w:keepLines/>
        <w:pageBreakBefore w:val="0"/>
        <w:widowControl w:val="0"/>
        <w:numPr>
          <w:ilvl w:val="0"/>
          <w:numId w:val="26"/>
        </w:numPr>
        <w:kinsoku/>
        <w:wordWrap/>
        <w:overflowPunct/>
        <w:topLinePunct w:val="0"/>
        <w:autoSpaceDE/>
        <w:autoSpaceDN/>
        <w:bidi w:val="0"/>
        <w:adjustRightInd/>
        <w:snapToGrid/>
        <w:ind w:firstLine="560"/>
        <w:textAlignment w:val="auto"/>
        <w:outlineLvl w:val="9"/>
        <w:rPr>
          <w:rFonts w:hint="eastAsia"/>
          <w:color w:val="000000" w:themeColor="text1"/>
          <w14:textFill>
            <w14:solidFill>
              <w14:schemeClr w14:val="tx1"/>
            </w14:solidFill>
          </w14:textFill>
        </w:rPr>
      </w:pPr>
      <w:bookmarkStart w:id="157" w:name="_Toc20835"/>
      <w:r>
        <w:rPr>
          <w:rFonts w:hint="eastAsia"/>
          <w:color w:val="000000" w:themeColor="text1"/>
          <w14:textFill>
            <w14:solidFill>
              <w14:schemeClr w14:val="tx1"/>
            </w14:solidFill>
          </w14:textFill>
        </w:rPr>
        <w:t>绿化</w:t>
      </w:r>
      <w:bookmarkEnd w:id="157"/>
    </w:p>
    <w:p w14:paraId="3FA529B2">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工厂的绿化美化不仅可以展现企业形象、调节工厂小气候、过滤和滞尘，而且可以改善职工的工作环境。</w:t>
      </w:r>
    </w:p>
    <w:p w14:paraId="3E3D59E5">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为美化厂容厂貌，减少垃圾处理过程中对环境造成的影响，创造良好的工作环境，设计充分利用厂区内空地栽种抗污染较强的树种和植物。设计采用“点、线、面”结合的手法，“点”是充分利用车间周围的零星空地种植草坪，“线”是道路两侧及围墙内侧栽种的行道树，“面”是主厂房北侧形成集中厂前绿化区。</w:t>
      </w:r>
    </w:p>
    <w:p w14:paraId="52AE83E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植物的配备以选择适应当地生长、抗污染能力较强的树种为主，不同的地段选择不同的树种和树形。厂前区栽种一些观赏性较强的树木和花草，减少废气、臭味、噪声、粉尘等的影响和交叉污染。</w:t>
      </w:r>
    </w:p>
    <w:p w14:paraId="0C07FDDB">
      <w:pPr>
        <w:pStyle w:val="12"/>
        <w:numPr>
          <w:ilvl w:val="0"/>
          <w:numId w:val="26"/>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消防</w:t>
      </w:r>
    </w:p>
    <w:p w14:paraId="29A27D79">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消防设计范围为垃圾焚烧厂围墙以内，厂区不设消防站和消防车，灭火时利用附近消防站的消防车辆。</w:t>
      </w:r>
    </w:p>
    <w:p w14:paraId="59B4464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重点防火区域（主厂房区、生产综合楼）设有环型消防车道或消防通道，以方便消防车辆的通过或停靠，一旦发生火灾时能够有效地控制火灾区域。厂内其它主要生产区与主要生产车间的四周也设有环形无尽头消防路网，所有建筑均有道路相通。</w:t>
      </w:r>
    </w:p>
    <w:p w14:paraId="73F9CC6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1）防火及防爆设计</w:t>
      </w:r>
    </w:p>
    <w:p w14:paraId="5123F38C">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根据现行《建筑设计防火规范》及《生活垃圾焚烧处理工程技术规范》，确定综合主厂房的火灾危险性为丁类，耐火等级为二级。焚烧锅炉间、烟气净化间为钢结构，其它部分为钢筋混凝土框架结构。，钢筋混凝土框架部分外围护墙体为加气混凝土砌块。钢结构部分除屋顶部分不设防火保护，钢桁架、钢柱的防火处理以喷防火涂料为主，以达到相应的耐火等级。</w:t>
      </w:r>
    </w:p>
    <w:p w14:paraId="6B431135">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安全疏散：综合主厂房的四个方向均有出入大门和疏散楼梯。南门是综合主厂房主控楼的主要进口，门厅内设有楼梯间和电梯，也作为紧急情况下的消防电梯；汽机间的端头设有疏散楼梯，烟气净化厂房南侧有通室外的大门；卸料平台下的辅助用房均有进出大门。</w:t>
      </w:r>
    </w:p>
    <w:p w14:paraId="06F805C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活性炭车间考虑防爆设计，屋面采用轻质钢结构屋面，外墙采用轻质钢结构外墙。</w:t>
      </w:r>
    </w:p>
    <w:p w14:paraId="74038AD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2)综合主厂房防火分区设置</w:t>
      </w:r>
    </w:p>
    <w:p w14:paraId="46F38173">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综合主厂房的防火分区为垃圾池与卸料大厅、汽机间与主控楼、焚烧锅炉间与烟气净化间、主控楼等4部分，相邻墙体按防火墙设计。主控楼内的控制室、电缆夹层、配电间、变压器间与其它房间的分隔墙按防火隔墙设置，房间长度超过7m时，设两个安全出口。封闭楼梯间及有防火要求的房间设防火门窗；防火墙上的门窗均设甲级防火门窗；管道穿过防火墙的部位，用防火封堵材料将缝隙堵严。</w:t>
      </w:r>
    </w:p>
    <w:p w14:paraId="06B9FD1C">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配电室的门向疏散方向开启，配电室的中间门采用乙级防火门。</w:t>
      </w:r>
    </w:p>
    <w:p w14:paraId="282FD6F7">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建筑装修材料采用难燃或非燃烧材料，并符合《建筑内部装修设计防火规范》中的有关规定。</w:t>
      </w:r>
    </w:p>
    <w:p w14:paraId="4E56999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3)油库油泵房消防设计</w:t>
      </w:r>
    </w:p>
    <w:p w14:paraId="6B504512">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本项目油库油泵房，建筑层数为一层，整体为一个防火分区，防火分区面积为44m2，设直通室外的安全出口，满足《建筑设计防火规范》的要求。</w:t>
      </w:r>
    </w:p>
    <w:p w14:paraId="0176BB5B">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油泵房为B类火灾场所严重危险级，根据《建筑灭火器配置设计规范》配置50kg推车式干粉灭火器1套和125L推车式泡沫灭火器1套，放置在油泵房门外，根据需要设挡雨棚。值班室内配置手提式干粉灭火器，火灾类型为E类.油罐区配备灭火毯2块，规格1m×1m，沙子2m3。</w:t>
      </w:r>
    </w:p>
    <w:p w14:paraId="42FE3041">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4)生产管理用房消防设计</w:t>
      </w:r>
    </w:p>
    <w:p w14:paraId="2C8E0F2C">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生产管理用房，各建筑单体均为一个防火分区，安全疏散满足《建筑设计防火规范》要求。</w:t>
      </w:r>
    </w:p>
    <w:p w14:paraId="60E8DCF4">
      <w:pPr>
        <w:numPr>
          <w:ilvl w:val="0"/>
          <w:numId w:val="27"/>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消防给水系统</w:t>
      </w:r>
    </w:p>
    <w:p w14:paraId="607171E7">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消防用水包括室内、室外消防灭火系统的用水等，并以发生火灾时最不利情况下的用水量组合进行设计。</w:t>
      </w:r>
    </w:p>
    <w:p w14:paraId="7B2B8F05">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lang w:val="zh-CN"/>
          <w14:textFill>
            <w14:solidFill>
              <w14:schemeClr w14:val="tx1"/>
            </w14:solidFill>
          </w14:textFill>
        </w:rPr>
        <w:t>综合主</w:t>
      </w:r>
      <w:r>
        <w:rPr>
          <w:rFonts w:hint="eastAsia" w:ascii="仿宋" w:hAnsi="仿宋" w:cs="仿宋"/>
          <w:color w:val="000000" w:themeColor="text1"/>
          <w14:textFill>
            <w14:solidFill>
              <w14:schemeClr w14:val="tx1"/>
            </w14:solidFill>
          </w14:textFill>
        </w:rPr>
        <w:t>厂房</w:t>
      </w:r>
      <w:r>
        <w:rPr>
          <w:rFonts w:hint="eastAsia" w:ascii="仿宋" w:hAnsi="仿宋" w:cs="仿宋"/>
          <w:color w:val="000000" w:themeColor="text1"/>
          <w:lang w:val="zh-CN"/>
          <w14:textFill>
            <w14:solidFill>
              <w14:schemeClr w14:val="tx1"/>
            </w14:solidFill>
          </w14:textFill>
        </w:rPr>
        <w:t>生产类别为丁类，耐火等级为二级。根据</w:t>
      </w:r>
      <w:r>
        <w:rPr>
          <w:rFonts w:hint="eastAsia" w:ascii="仿宋" w:hAnsi="仿宋" w:cs="仿宋"/>
          <w:color w:val="000000" w:themeColor="text1"/>
          <w14:textFill>
            <w14:solidFill>
              <w14:schemeClr w14:val="tx1"/>
            </w14:solidFill>
          </w14:textFill>
        </w:rPr>
        <w:t>《消防给水及消火栓系统技术规范》（GB50974-2014）</w:t>
      </w:r>
      <w:r>
        <w:rPr>
          <w:rFonts w:hint="eastAsia" w:ascii="仿宋" w:hAnsi="仿宋" w:cs="仿宋"/>
          <w:color w:val="000000" w:themeColor="text1"/>
          <w:lang w:val="zh-CN"/>
          <w14:textFill>
            <w14:solidFill>
              <w14:schemeClr w14:val="tx1"/>
            </w14:solidFill>
          </w14:textFill>
        </w:rPr>
        <w:t>，火灾延续时间按2小时计算，</w:t>
      </w:r>
      <w:r>
        <w:rPr>
          <w:rFonts w:hint="eastAsia" w:ascii="仿宋" w:hAnsi="仿宋" w:cs="仿宋"/>
          <w:color w:val="000000" w:themeColor="text1"/>
          <w14:textFill>
            <w14:solidFill>
              <w14:schemeClr w14:val="tx1"/>
            </w14:solidFill>
          </w14:textFill>
        </w:rPr>
        <w:t>一起火灾灭火用水量为540m3。</w:t>
      </w:r>
    </w:p>
    <w:p w14:paraId="066FAE4B">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消防用水量表</w:t>
      </w:r>
    </w:p>
    <w:tbl>
      <w:tblPr>
        <w:tblStyle w:val="25"/>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0"/>
        <w:gridCol w:w="2130"/>
        <w:gridCol w:w="2131"/>
        <w:gridCol w:w="2131"/>
      </w:tblGrid>
      <w:tr w14:paraId="4943BCB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70" w:type="dxa"/>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tcPr>
          <w:p w14:paraId="057E2F0B">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项目</w:t>
            </w:r>
          </w:p>
        </w:tc>
        <w:tc>
          <w:tcPr>
            <w:tcW w:w="21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54DF6A86">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用水量（L/s）</w:t>
            </w:r>
          </w:p>
        </w:tc>
        <w:tc>
          <w:tcPr>
            <w:tcW w:w="21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1A0672FE">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消防时间（h）</w:t>
            </w:r>
          </w:p>
        </w:tc>
        <w:tc>
          <w:tcPr>
            <w:tcW w:w="21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04764BB9">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总用水量（m</w:t>
            </w:r>
            <w:r>
              <w:rPr>
                <w:rFonts w:hint="eastAsia" w:ascii="仿宋" w:hAnsi="仿宋" w:eastAsia="仿宋" w:cs="仿宋"/>
                <w:color w:val="000000" w:themeColor="text1"/>
                <w:kern w:val="0"/>
                <w:sz w:val="24"/>
                <w:vertAlign w:val="superscript"/>
                <w:lang w:val="zh-CN"/>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w:t>
            </w:r>
          </w:p>
        </w:tc>
      </w:tr>
      <w:tr w14:paraId="35B5BDC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AACE4">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室内消防</w:t>
            </w:r>
          </w:p>
        </w:tc>
        <w:tc>
          <w:tcPr>
            <w:tcW w:w="2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77176">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25</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86C0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5DA55">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180</w:t>
            </w:r>
          </w:p>
        </w:tc>
      </w:tr>
      <w:tr w14:paraId="70CBBF0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E5F66">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室外消防</w:t>
            </w:r>
          </w:p>
        </w:tc>
        <w:tc>
          <w:tcPr>
            <w:tcW w:w="2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E994F">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20</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C2998">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4610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144</w:t>
            </w:r>
          </w:p>
        </w:tc>
      </w:tr>
      <w:tr w14:paraId="4EFCD39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B8BAA">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消防炮</w:t>
            </w:r>
          </w:p>
        </w:tc>
        <w:tc>
          <w:tcPr>
            <w:tcW w:w="21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9CDCD">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60</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91188">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p>
        </w:tc>
        <w:tc>
          <w:tcPr>
            <w:tcW w:w="21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262FF">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216</w:t>
            </w:r>
          </w:p>
        </w:tc>
      </w:tr>
    </w:tbl>
    <w:p w14:paraId="544EF4FE">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设室外消火栓、室内消火栓和发电机专用消防设施。消火栓用水由消火栓水泵供给。</w:t>
      </w:r>
    </w:p>
    <w:p w14:paraId="74198EA2">
      <w:pPr>
        <w:pStyle w:val="70"/>
        <w:ind w:firstLine="56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消防用水平时储存在工业消防水池内，火灾时由水泵供给消防水量及保证消防压力。选用专用消火栓水泵两台，一用一备。消防炮供水泵2台，1用1备，安装在综合泵房内。另有稳压泵两台，一用一备，安装在主厂房消防水箱出水端。</w:t>
      </w:r>
    </w:p>
    <w:p w14:paraId="1381DF4E">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室外在主厂房四周主干道下布置环状消火栓给水管道，管径为DN200。室外消火栓间距不大于120米，火灾时由消火栓水泵向室外消防管网供水。</w:t>
      </w:r>
    </w:p>
    <w:p w14:paraId="78606FF3">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室内采用临时高压消防系统，火灾时由消火栓水泵或由消防车向室内供水。</w:t>
      </w:r>
    </w:p>
    <w:p w14:paraId="26B3BB75">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综合主厂房由室外引入两条进水管，在室内呈环状布置，</w:t>
      </w:r>
      <w:r>
        <w:rPr>
          <w:rFonts w:hint="eastAsia" w:ascii="仿宋" w:hAnsi="仿宋" w:eastAsia="仿宋" w:cs="仿宋"/>
          <w:color w:val="000000" w:themeColor="text1"/>
          <w:kern w:val="0"/>
          <w:sz w:val="28"/>
          <w:szCs w:val="28"/>
          <w:lang w:val="zh-CN"/>
          <w14:textFill>
            <w14:solidFill>
              <w14:schemeClr w14:val="tx1"/>
            </w14:solidFill>
          </w14:textFill>
        </w:rPr>
        <w:t>且管道直径不小于100mm，水枪充实水柱不小于13m，室内消火栓间距不超过30m，室内消火栓的布置，能保证两支水枪的充实水柱同时到达室内同一部位。内设稳压泵两台，保证管网的消防静压力。</w:t>
      </w:r>
      <w:r>
        <w:rPr>
          <w:rFonts w:hint="eastAsia" w:ascii="仿宋" w:hAnsi="仿宋" w:eastAsia="仿宋" w:cs="仿宋"/>
          <w:color w:val="000000" w:themeColor="text1"/>
          <w:sz w:val="28"/>
          <w:szCs w:val="28"/>
          <w14:textFill>
            <w14:solidFill>
              <w14:schemeClr w14:val="tx1"/>
            </w14:solidFill>
          </w14:textFill>
        </w:rPr>
        <w:t>火灾时根据压力开关及流量开关启动消火栓供水泵.</w:t>
      </w:r>
    </w:p>
    <w:p w14:paraId="582B4CD9">
      <w:pPr>
        <w:pStyle w:val="70"/>
        <w:ind w:firstLine="560"/>
        <w:rPr>
          <w:rFonts w:hint="eastAsia" w:ascii="仿宋" w:hAnsi="仿宋" w:eastAsia="仿宋" w:cs="仿宋"/>
          <w:color w:val="000000" w:themeColor="text1"/>
          <w:kern w:val="0"/>
          <w:sz w:val="28"/>
          <w:szCs w:val="28"/>
          <w:lang w:val="zh-CN"/>
          <w14:textFill>
            <w14:solidFill>
              <w14:schemeClr w14:val="tx1"/>
            </w14:solidFill>
          </w14:textFill>
        </w:rPr>
      </w:pPr>
      <w:r>
        <w:rPr>
          <w:rFonts w:hint="eastAsia" w:ascii="仿宋" w:hAnsi="仿宋" w:eastAsia="仿宋" w:cs="仿宋"/>
          <w:color w:val="000000" w:themeColor="text1"/>
          <w:kern w:val="0"/>
          <w:sz w:val="28"/>
          <w:szCs w:val="28"/>
          <w:lang w:val="zh-CN"/>
          <w14:textFill>
            <w14:solidFill>
              <w14:schemeClr w14:val="tx1"/>
            </w14:solidFill>
          </w14:textFill>
        </w:rPr>
        <w:t>室内垃圾池设置消防炮2台，每台炮流量30L/S。消防炮加压泵放置在水泵房内，水炮旁设置消防炮加压泵按钮，保证中控室、水泵房、及消防炮控制室均能启动消防炮加压泵。</w:t>
      </w:r>
    </w:p>
    <w:p w14:paraId="102FF667">
      <w:pPr>
        <w:pStyle w:val="70"/>
        <w:ind w:firstLine="560"/>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油罐区设置移动式泡沫灭火设备和固定式冷却设备，主厂房及综合楼等辅助建筑物设置移动式灭火器具。</w:t>
      </w:r>
    </w:p>
    <w:p w14:paraId="1B0C918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本项目最终具体建设内容以</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出具的专业技术文件为准。</w:t>
      </w:r>
    </w:p>
    <w:p w14:paraId="6BCCC15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3040" cy="3716020"/>
            <wp:effectExtent l="0" t="0" r="3810" b="17780"/>
            <wp:docPr id="21" name="图片 21" descr="a412c2558e563de6c947c7bd46d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12c2558e563de6c947c7bd46d3627"/>
                    <pic:cNvPicPr>
                      <a:picLocks noChangeAspect="1"/>
                    </pic:cNvPicPr>
                  </pic:nvPicPr>
                  <pic:blipFill>
                    <a:blip r:embed="rId23"/>
                    <a:stretch>
                      <a:fillRect/>
                    </a:stretch>
                  </pic:blipFill>
                  <pic:spPr>
                    <a:xfrm>
                      <a:off x="0" y="0"/>
                      <a:ext cx="5273040" cy="3716020"/>
                    </a:xfrm>
                    <a:prstGeom prst="rect">
                      <a:avLst/>
                    </a:prstGeom>
                  </pic:spPr>
                </pic:pic>
              </a:graphicData>
            </a:graphic>
          </wp:inline>
        </w:drawing>
      </w:r>
    </w:p>
    <w:p w14:paraId="2921B3CB">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项目布置总平面图</w:t>
      </w:r>
    </w:p>
    <w:p w14:paraId="0CFB4B64">
      <w:pPr>
        <w:pStyle w:val="7"/>
        <w:ind w:firstLine="562"/>
        <w:outlineLvl w:val="1"/>
        <w:rPr>
          <w:color w:val="000000" w:themeColor="text1"/>
          <w14:textFill>
            <w14:solidFill>
              <w14:schemeClr w14:val="tx1"/>
            </w14:solidFill>
          </w14:textFill>
        </w:rPr>
      </w:pPr>
      <w:bookmarkStart w:id="158" w:name="_Toc14690"/>
      <w:r>
        <w:rPr>
          <w:rFonts w:hint="eastAsia"/>
          <w:color w:val="000000" w:themeColor="text1"/>
          <w14:textFill>
            <w14:solidFill>
              <w14:schemeClr w14:val="tx1"/>
            </w14:solidFill>
          </w14:textFill>
        </w:rPr>
        <w:t>技术工艺</w:t>
      </w:r>
      <w:bookmarkEnd w:id="158"/>
    </w:p>
    <w:p w14:paraId="1F87EA3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生活垃圾的热值仍处于逐步升高的阶段，而且随着今后几年的经济发展，以及日后居民垃圾分类的普及，生活垃圾中厨余垃圾逐渐减少，其热值还会逐渐提高。因此，本项目建设的城市生活垃圾处理设施所采用的处理技术应以焚烧技术为主，但应用的焚烧炉需要对处理物料的热值变化范围有一定的适应能力。</w:t>
      </w:r>
    </w:p>
    <w:p w14:paraId="3C31CE6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土地资源比较宝贵、可供选择的填埋场资源缺乏，可以考虑综合处理的办法，合理使用有限的垃圾处理场地资源，尽可能以焚烧处理为主要处理手段，并辅之以卫生填埋，再结合其他处理方法，逐步建成一个“源头削减、分类收集、资源回收、综合利用”的生活垃圾处理系统。</w:t>
      </w:r>
    </w:p>
    <w:p w14:paraId="5DC7E749">
      <w:pPr>
        <w:pStyle w:val="8"/>
        <w:outlineLvl w:val="2"/>
        <w:rPr>
          <w:color w:val="000000" w:themeColor="text1"/>
          <w14:textFill>
            <w14:solidFill>
              <w14:schemeClr w14:val="tx1"/>
            </w14:solidFill>
          </w14:textFill>
        </w:rPr>
      </w:pPr>
      <w:bookmarkStart w:id="159" w:name="_Toc1250"/>
      <w:r>
        <w:rPr>
          <w:rFonts w:hint="eastAsia"/>
          <w:color w:val="000000" w:themeColor="text1"/>
          <w14:textFill>
            <w14:solidFill>
              <w14:schemeClr w14:val="tx1"/>
            </w14:solidFill>
          </w14:textFill>
        </w:rPr>
        <w:t>垃圾特性及热值确定</w:t>
      </w:r>
      <w:bookmarkEnd w:id="159"/>
    </w:p>
    <w:p w14:paraId="5900B941">
      <w:pPr>
        <w:numPr>
          <w:ilvl w:val="0"/>
          <w:numId w:val="28"/>
        </w:num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垃圾特性</w:t>
      </w:r>
      <w:r>
        <w:rPr>
          <w:rFonts w:hint="eastAsia" w:ascii="仿宋" w:hAnsi="仿宋" w:cs="仿宋"/>
          <w:color w:val="000000" w:themeColor="text1"/>
          <w:lang w:val="en-US" w:eastAsia="zh-CN"/>
          <w14:textFill>
            <w14:solidFill>
              <w14:schemeClr w14:val="tx1"/>
            </w14:solidFill>
          </w14:textFill>
        </w:rPr>
        <w:t>及物理成分</w:t>
      </w:r>
    </w:p>
    <w:p w14:paraId="3F39606C">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2024年</w:t>
      </w:r>
      <w:r>
        <w:rPr>
          <w:rFonts w:hint="eastAsia"/>
          <w:color w:val="000000" w:themeColor="text1"/>
          <w14:textFill>
            <w14:solidFill>
              <w14:schemeClr w14:val="tx1"/>
            </w14:solidFill>
          </w14:textFill>
        </w:rPr>
        <w:t>内蒙古大学崔洪玮等在包头市市五区采样分析，包头市生活垃圾组分可以分为9类，分别为厨余垃圾（占比55.3%）、纸类（占比8.21%）、金属（占比2.24%）、玻璃（占比5.05%）、塑料（占比10.51%）、渣灰（占比11.7%）、织物（占比3.21%）、竹木（占比3.09%）、有害垃圾（占比0.69%）。</w:t>
      </w:r>
    </w:p>
    <w:p w14:paraId="1734F0F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垃圾处理与垃圾特性有着密切的关系，我国生活垃圾成分归纳起来大致有如下一些特点：</w:t>
      </w:r>
    </w:p>
    <w:p w14:paraId="650C21FE">
      <w:pPr>
        <w:numPr>
          <w:ilvl w:val="0"/>
          <w:numId w:val="2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垃圾混合收集，成分复杂，相对无机物质含量较高，但有下降趋势。</w:t>
      </w:r>
    </w:p>
    <w:p w14:paraId="1D810250">
      <w:pPr>
        <w:numPr>
          <w:ilvl w:val="0"/>
          <w:numId w:val="2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有机类物质中纸张、塑料等高热值物质较少，但有增加趋势。</w:t>
      </w:r>
    </w:p>
    <w:p w14:paraId="79428642">
      <w:pPr>
        <w:numPr>
          <w:ilvl w:val="0"/>
          <w:numId w:val="2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有机类物质中厨余垃圾含量高，导致垃圾含水率较高。</w:t>
      </w:r>
    </w:p>
    <w:p w14:paraId="082591F5">
      <w:pPr>
        <w:numPr>
          <w:ilvl w:val="0"/>
          <w:numId w:val="2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基于前三点，垃圾热值相对较低。</w:t>
      </w:r>
    </w:p>
    <w:p w14:paraId="245D20C6">
      <w:pPr>
        <w:numPr>
          <w:ilvl w:val="0"/>
          <w:numId w:val="2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进入九十年代以来，随着国民经济的发展和生活水平的提高，我国一些大中城市的垃圾成分发生了质的变化。根据我国城市垃圾的特点和具体国情，国家有关部门制定的中国城市垃圾处理技术政策已从八十年代中期的着重发展卫生填埋和高温堆肥处理技术向发展卫生填埋、焚烧与综合利用技术并举的发向过渡，逐步实现垃圾处理减量化、资源化、无害化的总目标。</w:t>
      </w:r>
    </w:p>
    <w:p w14:paraId="23BF0B5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在我国，对生活垃圾进行处理的模式一般有三种，即堆肥、焚烧和卫生填埋。</w:t>
      </w:r>
    </w:p>
    <w:p w14:paraId="732215E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堆肥处理在我国上世纪70~80年应用较多，但是现在状况不容乐观，面临的主要问题是一方面大量的筛上物需要进行焚烧和填埋处理，另一方面堆肥的质量不高，肥效较低，特别是销路不畅，这些都严重制约着堆肥处理技术的发展。</w:t>
      </w:r>
    </w:p>
    <w:p w14:paraId="7DAEA22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焚烧处理作为生活垃圾的一种处置方法，能够达到减量化目的，但具有投资大，运行费用高及管理技术含量高的问题。由于该处理方法不仅受燃气普及率与集中供热普及率、季节差异、是否进行分区收集和分类收集、垃圾热值高低的影响，同时更受经济发展水平的制约，所以采用焚烧技术处理生活垃圾的在我国目前多在经济发达的地区得到发展并得到越来越广泛的应用。但目前在我国，有几个因素制约着城市生活垃圾焚烧处理的发展：包括建设投资与运行费用的资金短缺；根据国家相关规范和标准，焚烧飞灰要进行单独无害化处置后进行填埋，需要要以填埋作为依托。</w:t>
      </w:r>
    </w:p>
    <w:p w14:paraId="2F8F48DF">
      <w:pPr>
        <w:ind w:left="560" w:leftChars="200"/>
        <w:jc w:val="left"/>
        <w:rPr>
          <w:rFonts w:hint="eastAsia" w:ascii="仿宋" w:hAnsi="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填埋处理是我国目前必不可少的处理方式，不论采取何种处理方式，都必须以卫生填埋方式作为最终处置方式。它是任何一种垃圾处理工艺中不可或缺的一种处理方式，但是随着环保标准的日益严格，对垃圾填埋场的技术要求，以及填埋费用越来越高。</w:t>
      </w:r>
    </w:p>
    <w:p w14:paraId="26EB6E5A">
      <w:pPr>
        <w:numPr>
          <w:ilvl w:val="0"/>
          <w:numId w:val="28"/>
        </w:num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垃圾热值确定</w:t>
      </w:r>
    </w:p>
    <w:p w14:paraId="30F5364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收集运输及在垃圾池的状况会使垃圾的水分发生变化，进而影响其热值。由于本项目暂无热值分析报告，故参考包头周边地区及北方类似地区垃圾热值，本项目原生垃圾热值暂按4700KJ/kg考虑。一般垃圾水分每降低1%，其热值增加125kJ/kg(即30kcal/kg)。由于生活垃圾入炉燃烧前在垃圾池内进行5-7天堆酵，根据垃圾特性分析，预计可去除10%左右的渗沥液渗沥液，则实际入炉垃圾低位热值增加1250kJ/kg(300kcal/kg)，入炉垃圾热值为4700+1250=5950kJ/kg。</w:t>
      </w:r>
    </w:p>
    <w:p w14:paraId="4A303BD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设计点热值的确定，关系到整个焚烧厂寿命期间的运行效率与运行成本。若设计点定得过低，则当垃圾热值较高时为满足焚烧炉的热负荷要求，垃圾处理量将下降；反之，若设计点定得过高，导致炉膛容积热负荷长期处于低水平运行，将会造成运行困难，运行成本提高。</w:t>
      </w:r>
    </w:p>
    <w:p w14:paraId="3774EFE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确定设计点垃圾热值的基本指导思想主要是：</w:t>
      </w:r>
    </w:p>
    <w:p w14:paraId="1C24B60F">
      <w:pPr>
        <w:numPr>
          <w:ilvl w:val="0"/>
          <w:numId w:val="3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包头市生活垃圾热值目前处于从低热值向稳定的高热值过渡期，按25~30年运行期考虑，前期垃圾热值较低，后期垃圾热值较高；</w:t>
      </w:r>
    </w:p>
    <w:p w14:paraId="47690CF4">
      <w:pPr>
        <w:numPr>
          <w:ilvl w:val="0"/>
          <w:numId w:val="3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应考虑焚烧厂运行寿命期的全厂运行效率和设备配置的合理性；</w:t>
      </w:r>
    </w:p>
    <w:p w14:paraId="2422CCA0">
      <w:pPr>
        <w:numPr>
          <w:ilvl w:val="0"/>
          <w:numId w:val="3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热值不仅随着年份的变化而不同，而且每年不同季节垃圾特性也明显不同，需保证焚烧炉在垃圾热值波动范围内都能稳定地运行。因此，确定设计点的垃圾热值需要适当超前考虑，并根据目前垃圾热值波动情况确定垃圾热值的负荷适应范围。</w:t>
      </w:r>
    </w:p>
    <w:p w14:paraId="6610E3C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焚烧炉工作寿命一般是按运行25~30年考虑的，故确定其热负荷容量应考虑两种最基本因素：（1）项目运行中期对垃圾低位热值变化的适应性；（2）热负荷变化范围一般在60%~110%。因此运行初期的垃圾低位热值要低于MCR设计热值。</w:t>
      </w:r>
    </w:p>
    <w:p w14:paraId="30FE1D7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在垃圾贮坑内存放5～7天，由于微生物的存在和垃圾挤压作用，垃圾中的外在水分和内在水分会有部分渗析出，水分含量降低，垃圾低位热值有一定程度的提高，本项目按垃圾脱水后热值提高1250kJ/kg考虑，入炉热值为5950kJ/kg。焚烧厂一般要到第8～10年达到设计热值，按运行经济负荷考虑，当前的垃圾低位热值不应低于MCR点热值85%，则：</w:t>
      </w:r>
    </w:p>
    <w:p w14:paraId="1FBDE4A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5950÷0.85=7000kJ/kg÷4.18≈1674kcal/kg</w:t>
      </w:r>
    </w:p>
    <w:p w14:paraId="52F8D25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因此初步确定设计点的垃圾低位热值取6908kJ/kg（1650kcal/kg）。但垃圾热值随季节变化比较大，为了保证焚烧炉在较宽的垃圾热值范围内都能稳定的运行，垃圾热值适用范围为：最低4605kJ/kg(1100kcal/kg)，最高8793kJ/kg（2100kcal/kg）。</w:t>
      </w:r>
    </w:p>
    <w:p w14:paraId="2EAB7735">
      <w:pPr>
        <w:pStyle w:val="8"/>
        <w:outlineLvl w:val="2"/>
        <w:rPr>
          <w:color w:val="000000" w:themeColor="text1"/>
          <w14:textFill>
            <w14:solidFill>
              <w14:schemeClr w14:val="tx1"/>
            </w14:solidFill>
          </w14:textFill>
        </w:rPr>
      </w:pPr>
      <w:bookmarkStart w:id="160" w:name="_Toc6044"/>
      <w:r>
        <w:rPr>
          <w:rFonts w:hint="eastAsia"/>
          <w:color w:val="000000" w:themeColor="text1"/>
          <w14:textFill>
            <w14:solidFill>
              <w14:schemeClr w14:val="tx1"/>
            </w14:solidFill>
          </w14:textFill>
        </w:rPr>
        <w:t>垃圾处理技术方案论证</w:t>
      </w:r>
      <w:bookmarkEnd w:id="160"/>
    </w:p>
    <w:p w14:paraId="0308E6ED">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城市生活垃圾的处理方法是指用物理、化学、生物等处理方法，将生活垃圾在生态循环的环境中加以迅速、有效、无害的分解处理之，以达到“减量化”、“无害化”、“资源化”的目的。目前，最常采用的处理方法有4种，即分类回收、卫生填埋、焚烧、堆肥，其中，分类回收不是一种独立的处理方法。这些方法各有其优缺点。由于垃圾成份复杂，各地区在不同时期，其成份都有较大的差异。因此，在处理方法的选择上，应按照本地区的情况，选择适当的方法，有时还须采用综合处理方法，才能取得比较理想的环境和经济效益。</w:t>
      </w:r>
    </w:p>
    <w:p w14:paraId="078FCE32">
      <w:pPr>
        <w:numPr>
          <w:ilvl w:val="0"/>
          <w:numId w:val="31"/>
        </w:num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分类回收</w:t>
      </w:r>
    </w:p>
    <w:p w14:paraId="32E5FB35">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分类回收是指从垃圾中回收可以利用的物料加以利用，例如废纸、金属、玻璃、塑料和橡胶等。废纸可作造纸原料；金属（如铁、铝）可回炼；玻璃可重用；塑料和橡胶可用于制造再生物质或隔离空气裂化成石油类燃料等。此法过去用人工分拣，现在已采用机械分选法，如风力、重力、浮力、离心力、磁力、光学及震动筛分等法。对已产生的城市生活垃圾，可以从垃圾中回收物质和能源，即实现垃圾的资源化。垃圾资源化的首要工作就是垃圾的分选。国外有些国家把城市垃圾分选工作让市民来做，在垃圾收集的首端就实现垃圾的分选，当然这种方法比较经济，对环境的影响也小，但目前就我国而言，这种方法尚不适用，因为我国民众垃圾分类收集尚未达到一定水平，在进入分拣环节之前就已经经过数道拾荒作业，导致垃圾分选可回收率严重下降，同时垃圾经分拣后仍有很大比例的垃圾需要后续再处理，进入焚烧厂焚烧或者卫生填埋，导致投资的重复性浪费。</w:t>
      </w:r>
    </w:p>
    <w:p w14:paraId="3BE2DCB6">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八十年代以前，城市垃圾大部分是混合收集，不进行分类，因而要采用破碎机和分选设备提取城市垃圾中的有用物质，国外一些从事废物处理设备和工艺研制的厂商和专业公司利用机械破碎分选法对垃圾进行破碎分选处理。它们把从垃圾中分选回收出的废纸、废塑料、废金属、废玻璃等成份提供给有关厂商作二次原料使用，达到变废为宝、丰富社会资源的目的。国外垃圾分选中心使用的分选设备自动化程度比较高。这些设备主要是根据各种不同废物的物理性能，分别利用磁吸、电导、光电、振动、离心、浮选等方法分选垃圾，利用磁吸法分选废铁；利用光滤系统和光电管可以分选各种玻璃；利用振动弹跳法可以分选出软硬物质；利用锥形旋风分离器或其它离心式分离器可分选比重不同的物质；利用弯曲管道底部送风法可分选轻重物质。</w:t>
      </w:r>
    </w:p>
    <w:p w14:paraId="093A131E">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采用上述方式对混合收集的城市垃圾进行分类的效果并不理想，在末端工序上仍需进行大量的人工分选。而且技术复杂、投资大、运行费用高、耗能耗水、二次污染严重。另外，城市垃圾中的各种构成物质在混合收集过程中相互污染，大大降低了其回收利用价值。</w:t>
      </w:r>
    </w:p>
    <w:p w14:paraId="13FC0B5E">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在当前我国城市生活垃圾的收集管理体系下，生活垃圾进入处理厂之前，已经经过大量拾荒人员的筛拣，垃圾中可回收利用的材料比较少。目前最广泛采用的垃圾分选方法是从传送带上进行手选，然而这种方法效率低，工作人员工作环境恶劣，劳动强度大，不适合推广利用。</w:t>
      </w:r>
    </w:p>
    <w:p w14:paraId="474CC1BB">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经过十余年的分选技术研究方面的经验和教训，人们明确地认识到，真正意义上的垃圾分类，应该从城市垃圾产生源开始，因此我国要实现垃圾分选处理的基础条件就是提高人民素质，使垃圾分类收集工作进一步完善和提高。</w:t>
      </w:r>
    </w:p>
    <w:p w14:paraId="66B0FFB1">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分类回收不是一种独立的处理方法，它须与堆肥、焚烧或其他处理方法结合。</w:t>
      </w:r>
    </w:p>
    <w:p w14:paraId="2F4E248F">
      <w:pPr>
        <w:numPr>
          <w:ilvl w:val="0"/>
          <w:numId w:val="31"/>
        </w:numPr>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卫生填埋</w:t>
      </w:r>
    </w:p>
    <w:p w14:paraId="63DD5412">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卫生填埋法是寻找一块空置的土地，将垃圾置于防渗透层之上压实后覆土填埋，利用生物化学原理在自然条件下使天然有机物分解，对分解产生的渗沥液和沼气（填埋气体）进行收集处理，以期不产生公害，对城市居民的健康及安全不造成危害。这种方法目前在世界上采用得最多。</w:t>
      </w:r>
    </w:p>
    <w:p w14:paraId="3CEF1360">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垃圾卫生填埋的优点为：最初投资低，适用性强，可接纳各种城市生活废弃物，处理能力大；建设投资除征地费不好确定外，一般而言，生产性投资较少，运行费用低，不受垃圾成份变化的影响，如有适当的土地可资利用，垃圾填埋处理是一种最为经济的城市垃圾处理方式。因此，在经济相对落后的内地中小城市，近期内仍将以卫生填埋作为城市垃圾处理的主要技术方式。</w:t>
      </w:r>
    </w:p>
    <w:p w14:paraId="3AC725BD">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卫生填埋需要占用大量的土地资源，厂址选择较为困难。考虑到交通、水文、地质、地形等因素，许多城市甚至近郊也很难找到合适的场址，而被迫舍近求远，有的平均运距超过60公里。填埋场占地较多是一大缺点，最好利用地价较低的沟谷荒坡，筑坝拦截，封场后还可复耕、还林。</w:t>
      </w:r>
    </w:p>
    <w:p w14:paraId="04FF91AA">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卫生填埋另一个难题是渗沥液的处理。生活垃圾经雨水浸泡渗出的黑液为高浓度有害液体，BOD5浓度较高，其污染度是粪便的3～5倍，一旦渗漏，对地下水、土质和大气易造成污染。随着《生活垃圾污染物控制标准》(GB16889-2008)的实施，对渗沥液处理后各种污染物的排放浓度作了更加严格的限制，处理成本大幅增加。所以，填埋场设计和建设过程中必须采取有效措施，最大限度地减少地面径流和地下水汇入垃圾库区，以减少渗沥液产出量和无害化处理难度。</w:t>
      </w:r>
    </w:p>
    <w:p w14:paraId="5B83DD9B">
      <w:pPr>
        <w:ind w:firstLine="560" w:firstLineChars="200"/>
        <w:jc w:val="left"/>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目前，发达国家正在逐步减少原生垃圾的填埋量，尤其在欧盟各国，已强调垃圾填埋只能是最终的处置手段，而且只能是无机物垃圾，在2005年以后，有机物大于5%的垃圾不能进入填埋场。</w:t>
      </w:r>
    </w:p>
    <w:p w14:paraId="6CD95BA6">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此种方法比较简单、成熟、投资稍低，目前用得较多的垃圾处理方法。它适用于卫生填埋场地资源丰富或经济发展水平较低的地区。</w:t>
      </w:r>
    </w:p>
    <w:p w14:paraId="699DCF1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卫生填埋是垃圾终处置方法，无论自然条件、经济条件如何，无论采用什么处理方法，卫生填埋必不可少。</w:t>
      </w:r>
    </w:p>
    <w:p w14:paraId="661D780B">
      <w:pPr>
        <w:numPr>
          <w:ilvl w:val="0"/>
          <w:numId w:val="31"/>
        </w:numPr>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焚烧</w:t>
      </w:r>
    </w:p>
    <w:p w14:paraId="13933908">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此法就是将垃圾焚烧。其减容效果最好（一般减容90%，减重70%以上），又能使腐败性有机物和难以降解而造成公害的有机物燃烧成为无机物和二氧化碳，而病原性生物在高温下死灭殆尽，使垃圾变成稳定的、无害的灰渣类物质。</w:t>
      </w:r>
    </w:p>
    <w:p w14:paraId="11FFA520">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但采用焚烧法处理垃圾时，首先要垃圾热值达到一定的水平，热值大于3347kJ/kg的垃圾始能焚烧，此时仍须添加辅助燃料方可维持稳定燃烧，因此，处理垃圾的费用较高，不经济。当垃圾热值大于5000kJ/kg时，才有可能不加辅助燃料，使垃圾在高温下燃烧。焚烧后配置余热锅炉，产生蒸汽</w:t>
      </w:r>
      <w:r>
        <w:rPr>
          <w:rFonts w:hint="eastAsia" w:ascii="仿宋" w:hAnsi="仿宋" w:cs="仿宋"/>
          <w:color w:val="000000" w:themeColor="text1"/>
          <w:lang w:val="en-US" w:eastAsia="zh-CN"/>
          <w14:textFill>
            <w14:solidFill>
              <w14:schemeClr w14:val="tx1"/>
            </w14:solidFill>
          </w14:textFill>
        </w:rPr>
        <w:t>进行</w:t>
      </w:r>
      <w:r>
        <w:rPr>
          <w:rFonts w:hint="eastAsia" w:ascii="仿宋" w:hAnsi="仿宋" w:cs="仿宋"/>
          <w:color w:val="000000" w:themeColor="text1"/>
          <w14:textFill>
            <w14:solidFill>
              <w14:schemeClr w14:val="tx1"/>
            </w14:solidFill>
          </w14:textFill>
        </w:rPr>
        <w:t>外售</w:t>
      </w:r>
      <w:r>
        <w:rPr>
          <w:rFonts w:hint="eastAsia" w:ascii="仿宋" w:hAnsi="仿宋" w:eastAsia="仿宋" w:cs="仿宋"/>
          <w:color w:val="000000"/>
          <w:kern w:val="2"/>
          <w:sz w:val="28"/>
          <w:szCs w:val="22"/>
          <w:lang w:val="en-US" w:eastAsia="zh-CN" w:bidi="ar"/>
        </w:rPr>
        <w:t>。</w:t>
      </w:r>
    </w:p>
    <w:p w14:paraId="176E7F77">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垃圾焚烧的处理方法，以垃圾焚烧的方式分类，可分为全量燃烧和“燃料制备”后燃烧两种。采用全量燃烧方法只要垃圾的热值达到许可值以上，无须将垃圾分拣。此法工艺成熟、运行可靠、炉温较高、操作较简易、燃烧较充分，炉渣热灼减率可达到小于5%，与燃煤锅炉无异，且减容量可达80%～90%，是垃圾减容和资源回收的常用的方法。目前西欧及美、日大部分焚烧厂采用此技术。但投资较高。另一种是对垃圾中的可燃组份用能焚烧处理，焚烧前需要进行“燃料制备”制成为二次燃料。它的热值高，一般要超过6280kJ/kg，可替代部分常规燃料。因此，往往垃圾进炉前要经过分拣，将不燃物或低热值组份除去，有的还要求将垃圾破碎，使进炉垃圾的粒度大致均等。但此法投资省，回收有用物质多，综合利用程度高。</w:t>
      </w:r>
    </w:p>
    <w:p w14:paraId="051CAC9C">
      <w:pPr>
        <w:ind w:firstLine="560" w:firstLineChars="200"/>
        <w:jc w:val="left"/>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垃圾焚烧技术作为一种以燃烧为手段的垃圾处理方法。随着城市生活垃圾可燃物和易燃物的增加，及各种先进技术的发展和应用，使垃圾焚烧技术不断得到完善和发展。据不完全统计，到20</w:t>
      </w:r>
      <w:r>
        <w:rPr>
          <w:rFonts w:hint="eastAsia" w:ascii="仿宋" w:hAnsi="仿宋" w:cs="仿宋"/>
          <w:color w:val="000000" w:themeColor="text1"/>
          <w:szCs w:val="28"/>
          <w:lang w:val="en-US" w:eastAsia="zh-CN"/>
          <w14:textFill>
            <w14:solidFill>
              <w14:schemeClr w14:val="tx1"/>
            </w14:solidFill>
          </w14:textFill>
        </w:rPr>
        <w:t>2</w:t>
      </w:r>
      <w:r>
        <w:rPr>
          <w:rFonts w:hint="eastAsia" w:ascii="仿宋" w:hAnsi="仿宋" w:cs="仿宋"/>
          <w:color w:val="000000" w:themeColor="text1"/>
          <w:szCs w:val="28"/>
          <w14:textFill>
            <w14:solidFill>
              <w14:schemeClr w14:val="tx1"/>
            </w14:solidFill>
          </w14:textFill>
        </w:rPr>
        <w:t>4年全世界约有各种类型的垃圾焚烧厂2200余座。</w:t>
      </w:r>
    </w:p>
    <w:p w14:paraId="38168EE0">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垃圾焚烧是目前处理生活垃圾的有效途径之一。焚烧技术的主要特点：</w:t>
      </w:r>
    </w:p>
    <w:p w14:paraId="5473F5AD">
      <w:pPr>
        <w:numPr>
          <w:ilvl w:val="0"/>
          <w:numId w:val="32"/>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无害化彻底：高温燃烧可使垃圾中有害物得到完全分解；完善可靠的烟气净化系统可以将烟气中污染物的含量处理到环保部门要求的范围内。</w:t>
      </w:r>
    </w:p>
    <w:p w14:paraId="7FA4C091">
      <w:pPr>
        <w:numPr>
          <w:ilvl w:val="0"/>
          <w:numId w:val="32"/>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减容、减量效果好：使垃圾体积减少80～90%；重量减少约70%。</w:t>
      </w:r>
    </w:p>
    <w:p w14:paraId="6E7C68E5">
      <w:pPr>
        <w:numPr>
          <w:ilvl w:val="0"/>
          <w:numId w:val="32"/>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有利于资源再利用：燃烧产生的热量可用于发电或供热；</w:t>
      </w:r>
    </w:p>
    <w:p w14:paraId="35D0FA86">
      <w:pPr>
        <w:numPr>
          <w:ilvl w:val="0"/>
          <w:numId w:val="32"/>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焚烧技术比较成熟，焚烧过程采用DCS控制，可保证燃烧过程处于最佳工况，所以二次污染小。</w:t>
      </w:r>
    </w:p>
    <w:p w14:paraId="2D27BEB9">
      <w:pPr>
        <w:numPr>
          <w:ilvl w:val="0"/>
          <w:numId w:val="32"/>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综合效果好：由于污染低、占地面积小，可靠近城市建厂，既节约用地、又减少运输成本，选址相对容易。</w:t>
      </w:r>
    </w:p>
    <w:p w14:paraId="68CC8317">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因此，在具备经济条件、垃圾热值条件和缺乏卫生填埋场地资源的地区，焚烧处理技术在全世界得到了迅速发展。</w:t>
      </w:r>
    </w:p>
    <w:p w14:paraId="08CDF8ED">
      <w:pPr>
        <w:numPr>
          <w:ilvl w:val="0"/>
          <w:numId w:val="31"/>
        </w:numPr>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堆肥处理法</w:t>
      </w:r>
    </w:p>
    <w:p w14:paraId="60D36154">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堆肥处理法是在控制的条件下（好氧或厌氧），借助微生物的生化作用，将垃圾中的天然有机物分解、腐熟，转化为稳定的腐殖质土。这种方法对以厨余等类成份为主的垃圾有较大的作用，但原生生活垃圾中，无机物和难以生化降解的橡胶、塑料、合成纤维等的有机物还有较大的数量，必须分拣后才可以采用堆肥法。而且，未经分拣堆肥，制成的肥料中重金属含量多少仍为未知数，如金属含量高，则有机肥市场狭窄。</w:t>
      </w:r>
    </w:p>
    <w:p w14:paraId="2849CD6D">
      <w:pPr>
        <w:pStyle w:val="15"/>
        <w:ind w:firstLine="560" w:firstLineChars="200"/>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在我国城市垃圾处理中，堆肥方式是最早也是在早期阶段使用最多的方式，那时，大部分垃圾堆肥处理场采用敞开式静态堆肥。20世纪80年代以来，我国陆续开发了机械化程度较高的动态堆肥技术。目前，从普及程度看，堆肥处理在国内城市各种垃圾处理方式中，是仅次于填埋方式的一种重要方式。针对我国固体废物的特点，我国多家研究机构研究开发出多种有机固体废物的堆肥化技术，并发展包括配套的预处理技术、堆肥化技术在内的城市垃圾综合集成处理工艺技术。</w:t>
      </w:r>
    </w:p>
    <w:p w14:paraId="325A9661">
      <w:pPr>
        <w:ind w:firstLine="548"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近两年来，城市垃圾堆肥化作为实现垃圾资源化、减量化的重要途径，在沉寂多年后又开始引起人们注意。一些新的堆肥化技术相继出现，大量堆肥场在建</w:t>
      </w:r>
      <w:r>
        <w:rPr>
          <w:rFonts w:hint="eastAsia" w:ascii="仿宋" w:hAnsi="仿宋" w:cs="仿宋"/>
          <w:color w:val="000000" w:themeColor="text1"/>
          <w:spacing w:val="-1"/>
          <w:szCs w:val="28"/>
          <w14:textFill>
            <w14:solidFill>
              <w14:schemeClr w14:val="tx1"/>
            </w14:solidFill>
          </w14:textFill>
        </w:rPr>
        <w:t>设。但是在运行中受到非技术的经济因素的制约，主要表现在：</w:t>
      </w:r>
    </w:p>
    <w:p w14:paraId="5847E187">
      <w:pPr>
        <w:numPr>
          <w:ilvl w:val="0"/>
          <w:numId w:val="33"/>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我国城市混合收集的垃圾杂质含量高，为保证产品质量采用复杂的分</w:t>
      </w:r>
      <w:r>
        <w:rPr>
          <w:rFonts w:hint="eastAsia" w:ascii="仿宋" w:hAnsi="仿宋" w:cs="仿宋"/>
          <w:color w:val="000000" w:themeColor="text1"/>
          <w:spacing w:val="-3"/>
          <w:szCs w:val="28"/>
          <w14:textFill>
            <w14:solidFill>
              <w14:schemeClr w14:val="tx1"/>
            </w14:solidFill>
          </w14:textFill>
        </w:rPr>
        <w:t>离过程，导致产品成本过高。如果没有政府的补贴，很难正常运行下去，而垃圾</w:t>
      </w:r>
      <w:r>
        <w:rPr>
          <w:rFonts w:hint="eastAsia" w:ascii="仿宋" w:hAnsi="仿宋" w:cs="仿宋"/>
          <w:color w:val="000000" w:themeColor="text1"/>
          <w:spacing w:val="-1"/>
          <w:szCs w:val="28"/>
          <w14:textFill>
            <w14:solidFill>
              <w14:schemeClr w14:val="tx1"/>
            </w14:solidFill>
          </w14:textFill>
        </w:rPr>
        <w:t>中含有的玻璃成分，很难完全分离，为堆肥产品的应用带来限制。</w:t>
      </w:r>
    </w:p>
    <w:p w14:paraId="58A3CD29">
      <w:pPr>
        <w:numPr>
          <w:ilvl w:val="0"/>
          <w:numId w:val="33"/>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一般堆肥场的粗堆肥产品只能作为土壤改良剂，销路取决于堆肥场所</w:t>
      </w:r>
      <w:r>
        <w:rPr>
          <w:rFonts w:hint="eastAsia" w:ascii="仿宋" w:hAnsi="仿宋" w:cs="仿宋"/>
          <w:color w:val="000000" w:themeColor="text1"/>
          <w:spacing w:val="-7"/>
          <w:szCs w:val="28"/>
          <w14:textFill>
            <w14:solidFill>
              <w14:schemeClr w14:val="tx1"/>
            </w14:solidFill>
          </w14:textFill>
        </w:rPr>
        <w:t>在地区土壤条件的适宜性。在黏性土壤地区，特别是南方的红黄粘土</w:t>
      </w:r>
      <w:r>
        <w:rPr>
          <w:rFonts w:hint="eastAsia" w:ascii="仿宋" w:hAnsi="仿宋" w:cs="仿宋"/>
          <w:color w:val="000000" w:themeColor="text1"/>
          <w:spacing w:val="-8"/>
          <w:szCs w:val="28"/>
          <w14:textFill>
            <w14:solidFill>
              <w14:schemeClr w14:val="tx1"/>
            </w14:solidFill>
          </w14:textFill>
        </w:rPr>
        <w:t>、砖红黏土、</w:t>
      </w:r>
      <w:r>
        <w:rPr>
          <w:rFonts w:hint="eastAsia" w:ascii="仿宋" w:hAnsi="仿宋" w:cs="仿宋"/>
          <w:color w:val="000000" w:themeColor="text1"/>
          <w:spacing w:val="-1"/>
          <w:szCs w:val="28"/>
          <w14:textFill>
            <w14:solidFill>
              <w14:schemeClr w14:val="tx1"/>
            </w14:solidFill>
          </w14:textFill>
        </w:rPr>
        <w:t>紫色土地区有较好的销路。</w:t>
      </w:r>
    </w:p>
    <w:p w14:paraId="1F0284EC">
      <w:pPr>
        <w:numPr>
          <w:ilvl w:val="0"/>
          <w:numId w:val="33"/>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堆肥场产品的经济服务半径一般较小，同时肥效较差，因此堆肥产品</w:t>
      </w:r>
      <w:r>
        <w:rPr>
          <w:rFonts w:hint="eastAsia" w:ascii="仿宋" w:hAnsi="仿宋" w:cs="仿宋"/>
          <w:color w:val="000000" w:themeColor="text1"/>
          <w:spacing w:val="-3"/>
          <w:szCs w:val="28"/>
          <w14:textFill>
            <w14:solidFill>
              <w14:schemeClr w14:val="tx1"/>
            </w14:solidFill>
          </w14:textFill>
        </w:rPr>
        <w:t>通常只能就近销售；而利用其制造的复合肥，也在与一般化肥和复合肥的竞争中</w:t>
      </w:r>
      <w:r>
        <w:rPr>
          <w:rFonts w:hint="eastAsia" w:ascii="仿宋" w:hAnsi="仿宋" w:cs="仿宋"/>
          <w:color w:val="000000" w:themeColor="text1"/>
          <w:spacing w:val="-2"/>
          <w:szCs w:val="28"/>
          <w14:textFill>
            <w14:solidFill>
              <w14:schemeClr w14:val="tx1"/>
            </w14:solidFill>
          </w14:textFill>
        </w:rPr>
        <w:t>不占优势。</w:t>
      </w:r>
    </w:p>
    <w:p w14:paraId="3EB22235">
      <w:pPr>
        <w:numPr>
          <w:ilvl w:val="0"/>
          <w:numId w:val="33"/>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堆肥产品销售有其季节性，而垃圾堆肥处理则是连续性的，生产与销</w:t>
      </w:r>
      <w:r>
        <w:rPr>
          <w:rFonts w:hint="eastAsia" w:ascii="仿宋" w:hAnsi="仿宋" w:cs="仿宋"/>
          <w:color w:val="000000" w:themeColor="text1"/>
          <w:spacing w:val="-2"/>
          <w:szCs w:val="28"/>
          <w14:textFill>
            <w14:solidFill>
              <w14:schemeClr w14:val="tx1"/>
            </w14:solidFill>
          </w14:textFill>
        </w:rPr>
        <w:t>售之间存在的这种“时间差”，将使垃圾堆肥厂的运行带来困难。</w:t>
      </w:r>
    </w:p>
    <w:p w14:paraId="52D7283D">
      <w:pPr>
        <w:numPr>
          <w:ilvl w:val="0"/>
          <w:numId w:val="33"/>
        </w:numPr>
        <w:ind w:left="0"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堆肥产品很难达到无害化的要求，不能保证彻底杀灭病菌以避免二次</w:t>
      </w:r>
      <w:r>
        <w:rPr>
          <w:rFonts w:hint="eastAsia" w:ascii="仿宋" w:hAnsi="仿宋" w:cs="仿宋"/>
          <w:color w:val="000000" w:themeColor="text1"/>
          <w:spacing w:val="-1"/>
          <w:szCs w:val="28"/>
          <w14:textFill>
            <w14:solidFill>
              <w14:schemeClr w14:val="tx1"/>
            </w14:solidFill>
          </w14:textFill>
        </w:rPr>
        <w:t>污染，同时，难以克服重金属成分的迁移问题。</w:t>
      </w:r>
    </w:p>
    <w:p w14:paraId="232F95F6">
      <w:pPr>
        <w:ind w:firstLine="544"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4"/>
          <w:szCs w:val="28"/>
          <w14:textFill>
            <w14:solidFill>
              <w14:schemeClr w14:val="tx1"/>
            </w14:solidFill>
          </w14:textFill>
        </w:rPr>
        <w:t>目前，有些人误将垃圾资源化与垃圾堆肥化</w:t>
      </w:r>
      <w:r>
        <w:rPr>
          <w:rFonts w:hint="eastAsia" w:ascii="仿宋" w:hAnsi="仿宋" w:cs="仿宋"/>
          <w:color w:val="000000" w:themeColor="text1"/>
          <w:spacing w:val="-5"/>
          <w:szCs w:val="28"/>
          <w14:textFill>
            <w14:solidFill>
              <w14:schemeClr w14:val="tx1"/>
            </w14:solidFill>
          </w14:textFill>
        </w:rPr>
        <w:t>等同起来了。国内新近上马的多</w:t>
      </w:r>
      <w:r>
        <w:rPr>
          <w:rFonts w:hint="eastAsia" w:ascii="仿宋" w:hAnsi="仿宋" w:cs="仿宋"/>
          <w:color w:val="000000" w:themeColor="text1"/>
          <w:spacing w:val="-3"/>
          <w:szCs w:val="28"/>
          <w14:textFill>
            <w14:solidFill>
              <w14:schemeClr w14:val="tx1"/>
            </w14:solidFill>
          </w14:textFill>
        </w:rPr>
        <w:t>数堆肥化处理场，缺乏对堆肥产品的市场潜力进行认真、科学的分析。仅仅从不定期运行的、简易小型的垃圾堆肥场堆肥产品有销路，就断定大型垃圾堆肥场产品能销售出去。实际上，尽管发达国家严格实行了垃圾分类，杜绝了危险废物的混入，且政府配套法规鼓励利用生物肥料，但国外利用堆肥处理城市垃圾所占比例并不大，而且多数堆肥场主要是利用分类收集的厨房废物、庭院废物、污水处理污泥和粪便作为原料，用混合垃圾堆肥的实例并不多。而在城市居民环保意识不高、垃圾分类收集尚未有效执行的我国，一些中小城市可能比较适用堆肥方式</w:t>
      </w:r>
      <w:r>
        <w:rPr>
          <w:rFonts w:hint="eastAsia" w:ascii="仿宋" w:hAnsi="仿宋" w:cs="仿宋"/>
          <w:color w:val="000000" w:themeColor="text1"/>
          <w:spacing w:val="-1"/>
          <w:szCs w:val="28"/>
          <w14:textFill>
            <w14:solidFill>
              <w14:schemeClr w14:val="tx1"/>
            </w14:solidFill>
          </w14:textFill>
        </w:rPr>
        <w:t>处理垃圾，但堆肥处理技术不能盲目到处推广。</w:t>
      </w:r>
    </w:p>
    <w:p w14:paraId="7398C41F">
      <w:pPr>
        <w:ind w:firstLine="576" w:firstLineChars="200"/>
        <w:rPr>
          <w:rFonts w:hint="eastAsia" w:ascii="仿宋" w:hAnsi="仿宋" w:cs="仿宋"/>
          <w:color w:val="000000" w:themeColor="text1"/>
          <w:spacing w:val="-5"/>
          <w:szCs w:val="28"/>
          <w14:textFill>
            <w14:solidFill>
              <w14:schemeClr w14:val="tx1"/>
            </w14:solidFill>
          </w14:textFill>
        </w:rPr>
      </w:pPr>
      <w:r>
        <w:rPr>
          <w:rFonts w:hint="eastAsia" w:ascii="仿宋" w:hAnsi="仿宋" w:cs="仿宋"/>
          <w:color w:val="000000" w:themeColor="text1"/>
          <w:spacing w:val="4"/>
          <w:szCs w:val="28"/>
          <w14:textFill>
            <w14:solidFill>
              <w14:schemeClr w14:val="tx1"/>
            </w14:solidFill>
          </w14:textFill>
        </w:rPr>
        <w:t>从上述对四种垃圾处理方法的论述中，</w:t>
      </w:r>
      <w:r>
        <w:rPr>
          <w:rFonts w:hint="eastAsia" w:ascii="仿宋" w:hAnsi="仿宋" w:cs="仿宋"/>
          <w:color w:val="000000" w:themeColor="text1"/>
          <w:szCs w:val="28"/>
          <w14:textFill>
            <w14:solidFill>
              <w14:schemeClr w14:val="tx1"/>
            </w14:solidFill>
          </w14:textFill>
        </w:rPr>
        <w:t>焚烧处理技术相对较好。</w:t>
      </w:r>
      <w:r>
        <w:rPr>
          <w:rFonts w:hint="eastAsia" w:ascii="仿宋" w:hAnsi="仿宋" w:cs="仿宋"/>
          <w:color w:val="000000" w:themeColor="text1"/>
          <w:spacing w:val="4"/>
          <w:szCs w:val="28"/>
          <w14:textFill>
            <w14:solidFill>
              <w14:schemeClr w14:val="tx1"/>
            </w14:solidFill>
          </w14:textFill>
        </w:rPr>
        <w:t>归纳出主要技术经济特点对比如下</w:t>
      </w:r>
      <w:r>
        <w:rPr>
          <w:rFonts w:hint="eastAsia" w:ascii="仿宋" w:hAnsi="仿宋" w:cs="仿宋"/>
          <w:color w:val="000000" w:themeColor="text1"/>
          <w:spacing w:val="-5"/>
          <w:szCs w:val="28"/>
          <w14:textFill>
            <w14:solidFill>
              <w14:schemeClr w14:val="tx1"/>
            </w14:solidFill>
          </w14:textFill>
        </w:rPr>
        <w:t>表：</w:t>
      </w:r>
    </w:p>
    <w:p w14:paraId="46A8DD96">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垃圾处理方法对比表</w:t>
      </w:r>
    </w:p>
    <w:tbl>
      <w:tblPr>
        <w:tblStyle w:val="52"/>
        <w:tblW w:w="8554" w:type="dxa"/>
        <w:tblInd w:w="12"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246"/>
        <w:gridCol w:w="1829"/>
        <w:gridCol w:w="1828"/>
        <w:gridCol w:w="1705"/>
        <w:gridCol w:w="1946"/>
      </w:tblGrid>
      <w:tr w14:paraId="1415C3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46" w:type="dxa"/>
            <w:tcBorders>
              <w:bottom w:val="single" w:color="auto" w:sz="4" w:space="0"/>
            </w:tcBorders>
            <w:shd w:val="clear" w:color="auto" w:fill="BDD6EE" w:themeFill="accent1" w:themeFillTint="66"/>
            <w:vAlign w:val="center"/>
          </w:tcPr>
          <w:p w14:paraId="574994F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9"/>
                <w:sz w:val="24"/>
                <w:szCs w:val="24"/>
                <w14:textFill>
                  <w14:solidFill>
                    <w14:schemeClr w14:val="tx1"/>
                  </w14:solidFill>
                </w14:textFill>
              </w:rPr>
              <w:t>内容</w:t>
            </w:r>
          </w:p>
        </w:tc>
        <w:tc>
          <w:tcPr>
            <w:tcW w:w="1829" w:type="dxa"/>
            <w:tcBorders>
              <w:bottom w:val="single" w:color="auto" w:sz="4" w:space="0"/>
            </w:tcBorders>
            <w:shd w:val="clear" w:color="auto" w:fill="BDD6EE" w:themeFill="accent1" w:themeFillTint="66"/>
            <w:vAlign w:val="center"/>
          </w:tcPr>
          <w:p w14:paraId="3CE3A60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分选</w:t>
            </w:r>
          </w:p>
        </w:tc>
        <w:tc>
          <w:tcPr>
            <w:tcW w:w="1828" w:type="dxa"/>
            <w:tcBorders>
              <w:bottom w:val="single" w:color="auto" w:sz="4" w:space="0"/>
            </w:tcBorders>
            <w:shd w:val="clear" w:color="auto" w:fill="BDD6EE" w:themeFill="accent1" w:themeFillTint="66"/>
            <w:vAlign w:val="center"/>
          </w:tcPr>
          <w:p w14:paraId="046581D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卫生填埋</w:t>
            </w:r>
          </w:p>
        </w:tc>
        <w:tc>
          <w:tcPr>
            <w:tcW w:w="1705" w:type="dxa"/>
            <w:tcBorders>
              <w:bottom w:val="single" w:color="auto" w:sz="4" w:space="0"/>
            </w:tcBorders>
            <w:shd w:val="clear" w:color="auto" w:fill="BDD6EE" w:themeFill="accent1" w:themeFillTint="66"/>
            <w:vAlign w:val="center"/>
          </w:tcPr>
          <w:p w14:paraId="45339F8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堆肥</w:t>
            </w:r>
          </w:p>
        </w:tc>
        <w:tc>
          <w:tcPr>
            <w:tcW w:w="1946" w:type="dxa"/>
            <w:tcBorders>
              <w:bottom w:val="single" w:color="auto" w:sz="4" w:space="0"/>
            </w:tcBorders>
            <w:shd w:val="clear" w:color="auto" w:fill="BDD6EE" w:themeFill="accent1" w:themeFillTint="66"/>
            <w:vAlign w:val="center"/>
          </w:tcPr>
          <w:p w14:paraId="687CBAC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焚烧</w:t>
            </w:r>
          </w:p>
        </w:tc>
      </w:tr>
      <w:tr w14:paraId="1C20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46" w:type="dxa"/>
            <w:tcBorders>
              <w:top w:val="single" w:color="auto" w:sz="4" w:space="0"/>
              <w:left w:val="single" w:color="auto" w:sz="4" w:space="0"/>
              <w:bottom w:val="single" w:color="auto" w:sz="4" w:space="0"/>
              <w:right w:val="single" w:color="auto" w:sz="4" w:space="0"/>
            </w:tcBorders>
            <w:vAlign w:val="center"/>
          </w:tcPr>
          <w:p w14:paraId="21ED644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操作安全</w:t>
            </w:r>
            <w:r>
              <w:rPr>
                <w:rFonts w:hint="eastAsia" w:ascii="仿宋" w:hAnsi="仿宋" w:cs="仿宋"/>
                <w:color w:val="000000" w:themeColor="text1"/>
                <w:sz w:val="24"/>
                <w:szCs w:val="24"/>
                <w14:textFill>
                  <w14:solidFill>
                    <w14:schemeClr w14:val="tx1"/>
                  </w14:solidFill>
                </w14:textFill>
              </w:rPr>
              <w:t>性</w:t>
            </w:r>
          </w:p>
        </w:tc>
        <w:tc>
          <w:tcPr>
            <w:tcW w:w="1829" w:type="dxa"/>
            <w:tcBorders>
              <w:top w:val="single" w:color="auto" w:sz="4" w:space="0"/>
              <w:left w:val="single" w:color="auto" w:sz="4" w:space="0"/>
              <w:bottom w:val="single" w:color="auto" w:sz="4" w:space="0"/>
              <w:right w:val="single" w:color="auto" w:sz="4" w:space="0"/>
            </w:tcBorders>
            <w:vAlign w:val="center"/>
          </w:tcPr>
          <w:p w14:paraId="2B2BA8F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好</w:t>
            </w:r>
          </w:p>
        </w:tc>
        <w:tc>
          <w:tcPr>
            <w:tcW w:w="1828" w:type="dxa"/>
            <w:tcBorders>
              <w:top w:val="single" w:color="auto" w:sz="4" w:space="0"/>
              <w:left w:val="single" w:color="auto" w:sz="4" w:space="0"/>
              <w:bottom w:val="single" w:color="auto" w:sz="4" w:space="0"/>
              <w:right w:val="single" w:color="auto" w:sz="4" w:space="0"/>
            </w:tcBorders>
            <w:vAlign w:val="center"/>
          </w:tcPr>
          <w:p w14:paraId="44FEE58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较好，注意防火</w:t>
            </w:r>
          </w:p>
        </w:tc>
        <w:tc>
          <w:tcPr>
            <w:tcW w:w="1705" w:type="dxa"/>
            <w:tcBorders>
              <w:top w:val="single" w:color="auto" w:sz="4" w:space="0"/>
              <w:left w:val="single" w:color="auto" w:sz="4" w:space="0"/>
              <w:bottom w:val="single" w:color="auto" w:sz="4" w:space="0"/>
              <w:right w:val="single" w:color="auto" w:sz="4" w:space="0"/>
            </w:tcBorders>
            <w:vAlign w:val="center"/>
          </w:tcPr>
          <w:p w14:paraId="01B829F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好</w:t>
            </w:r>
          </w:p>
        </w:tc>
        <w:tc>
          <w:tcPr>
            <w:tcW w:w="1946" w:type="dxa"/>
            <w:tcBorders>
              <w:top w:val="single" w:color="auto" w:sz="4" w:space="0"/>
              <w:left w:val="single" w:color="auto" w:sz="4" w:space="0"/>
              <w:bottom w:val="single" w:color="auto" w:sz="4" w:space="0"/>
              <w:right w:val="single" w:color="auto" w:sz="4" w:space="0"/>
            </w:tcBorders>
            <w:vAlign w:val="center"/>
          </w:tcPr>
          <w:p w14:paraId="112D910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好</w:t>
            </w:r>
          </w:p>
        </w:tc>
      </w:tr>
      <w:tr w14:paraId="7AC1B1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246" w:type="dxa"/>
            <w:tcBorders>
              <w:top w:val="single" w:color="auto" w:sz="4" w:space="0"/>
            </w:tcBorders>
            <w:vAlign w:val="center"/>
          </w:tcPr>
          <w:p w14:paraId="3874646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技术可靠</w:t>
            </w:r>
            <w:r>
              <w:rPr>
                <w:rFonts w:hint="eastAsia" w:ascii="仿宋" w:hAnsi="仿宋" w:cs="仿宋"/>
                <w:color w:val="000000" w:themeColor="text1"/>
                <w:sz w:val="24"/>
                <w:szCs w:val="24"/>
                <w14:textFill>
                  <w14:solidFill>
                    <w14:schemeClr w14:val="tx1"/>
                  </w14:solidFill>
                </w14:textFill>
              </w:rPr>
              <w:t>性</w:t>
            </w:r>
          </w:p>
        </w:tc>
        <w:tc>
          <w:tcPr>
            <w:tcW w:w="1829" w:type="dxa"/>
            <w:tcBorders>
              <w:top w:val="single" w:color="auto" w:sz="4" w:space="0"/>
            </w:tcBorders>
            <w:vAlign w:val="center"/>
          </w:tcPr>
          <w:p w14:paraId="643BF5D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可靠</w:t>
            </w:r>
          </w:p>
        </w:tc>
        <w:tc>
          <w:tcPr>
            <w:tcW w:w="1828" w:type="dxa"/>
            <w:tcBorders>
              <w:top w:val="single" w:color="auto" w:sz="4" w:space="0"/>
            </w:tcBorders>
            <w:vAlign w:val="center"/>
          </w:tcPr>
          <w:p w14:paraId="6B541F8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可靠</w:t>
            </w:r>
          </w:p>
        </w:tc>
        <w:tc>
          <w:tcPr>
            <w:tcW w:w="1705" w:type="dxa"/>
            <w:tcBorders>
              <w:top w:val="single" w:color="auto" w:sz="4" w:space="0"/>
            </w:tcBorders>
            <w:vAlign w:val="center"/>
          </w:tcPr>
          <w:p w14:paraId="154BAFF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可靠，国内有一</w:t>
            </w:r>
            <w:r>
              <w:rPr>
                <w:rFonts w:hint="eastAsia" w:ascii="仿宋" w:hAnsi="仿宋" w:cs="仿宋"/>
                <w:color w:val="000000" w:themeColor="text1"/>
                <w:spacing w:val="5"/>
                <w:sz w:val="24"/>
                <w:szCs w:val="24"/>
                <w14:textFill>
                  <w14:solidFill>
                    <w14:schemeClr w14:val="tx1"/>
                  </w14:solidFill>
                </w14:textFill>
              </w:rPr>
              <w:t>些经验</w:t>
            </w:r>
          </w:p>
        </w:tc>
        <w:tc>
          <w:tcPr>
            <w:tcW w:w="1946" w:type="dxa"/>
            <w:tcBorders>
              <w:top w:val="single" w:color="auto" w:sz="4" w:space="0"/>
            </w:tcBorders>
            <w:vAlign w:val="center"/>
          </w:tcPr>
          <w:p w14:paraId="13A9F8F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可靠</w:t>
            </w:r>
          </w:p>
        </w:tc>
      </w:tr>
      <w:tr w14:paraId="3D24D7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246" w:type="dxa"/>
            <w:vAlign w:val="center"/>
          </w:tcPr>
          <w:p w14:paraId="73B4900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3"/>
                <w:sz w:val="24"/>
                <w:szCs w:val="24"/>
                <w14:textFill>
                  <w14:solidFill>
                    <w14:schemeClr w14:val="tx1"/>
                  </w14:solidFill>
                </w14:textFill>
              </w:rPr>
              <w:t>占地</w:t>
            </w:r>
          </w:p>
        </w:tc>
        <w:tc>
          <w:tcPr>
            <w:tcW w:w="1829" w:type="dxa"/>
            <w:vAlign w:val="center"/>
          </w:tcPr>
          <w:p w14:paraId="71057AE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中等</w:t>
            </w:r>
          </w:p>
        </w:tc>
        <w:tc>
          <w:tcPr>
            <w:tcW w:w="1828" w:type="dxa"/>
            <w:vAlign w:val="center"/>
          </w:tcPr>
          <w:p w14:paraId="7A4922E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大</w:t>
            </w:r>
          </w:p>
        </w:tc>
        <w:tc>
          <w:tcPr>
            <w:tcW w:w="1705" w:type="dxa"/>
            <w:vAlign w:val="center"/>
          </w:tcPr>
          <w:p w14:paraId="62CD8F5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中等</w:t>
            </w:r>
          </w:p>
        </w:tc>
        <w:tc>
          <w:tcPr>
            <w:tcW w:w="1946" w:type="dxa"/>
            <w:vAlign w:val="center"/>
          </w:tcPr>
          <w:p w14:paraId="03004A0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小</w:t>
            </w:r>
          </w:p>
        </w:tc>
      </w:tr>
      <w:tr w14:paraId="5A8A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51" w:hRule="atLeast"/>
        </w:trPr>
        <w:tc>
          <w:tcPr>
            <w:tcW w:w="1246" w:type="dxa"/>
            <w:vAlign w:val="center"/>
          </w:tcPr>
          <w:p w14:paraId="4969EF4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选址</w:t>
            </w:r>
          </w:p>
        </w:tc>
        <w:tc>
          <w:tcPr>
            <w:tcW w:w="1829" w:type="dxa"/>
            <w:vAlign w:val="center"/>
          </w:tcPr>
          <w:p w14:paraId="000D76DA">
            <w:pPr>
              <w:spacing w:line="240" w:lineRule="auto"/>
              <w:rPr>
                <w:rFonts w:hint="eastAsia" w:ascii="仿宋" w:hAnsi="仿宋" w:cs="仿宋"/>
                <w:color w:val="000000" w:themeColor="text1"/>
                <w:sz w:val="24"/>
                <w:szCs w:val="24"/>
                <w14:textFill>
                  <w14:solidFill>
                    <w14:schemeClr w14:val="tx1"/>
                  </w14:solidFill>
                </w14:textFill>
              </w:rPr>
            </w:pPr>
          </w:p>
          <w:p w14:paraId="1F95269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较易，但需要在一</w:t>
            </w:r>
          </w:p>
          <w:p w14:paraId="37F56A4F">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定密闭条件下进</w:t>
            </w:r>
          </w:p>
          <w:p w14:paraId="5CFC33D0">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行，离填埋场距离</w:t>
            </w:r>
            <w:r>
              <w:rPr>
                <w:rFonts w:hint="eastAsia" w:ascii="仿宋" w:hAnsi="仿宋" w:cs="仿宋"/>
                <w:color w:val="000000" w:themeColor="text1"/>
                <w:spacing w:val="6"/>
                <w:sz w:val="24"/>
                <w:szCs w:val="24"/>
                <w14:textFill>
                  <w14:solidFill>
                    <w14:schemeClr w14:val="tx1"/>
                  </w14:solidFill>
                </w14:textFill>
              </w:rPr>
              <w:t>越近越好。</w:t>
            </w:r>
          </w:p>
        </w:tc>
        <w:tc>
          <w:tcPr>
            <w:tcW w:w="1828" w:type="dxa"/>
            <w:vAlign w:val="center"/>
          </w:tcPr>
          <w:p w14:paraId="525C879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较困难，要考虑地</w:t>
            </w:r>
            <w:r>
              <w:rPr>
                <w:rFonts w:hint="eastAsia" w:ascii="仿宋" w:hAnsi="仿宋" w:cs="仿宋"/>
                <w:color w:val="000000" w:themeColor="text1"/>
                <w:spacing w:val="1"/>
                <w:sz w:val="24"/>
                <w:szCs w:val="24"/>
                <w14:textFill>
                  <w14:solidFill>
                    <w14:schemeClr w14:val="tx1"/>
                  </w14:solidFill>
                </w14:textFill>
              </w:rPr>
              <w:t>形、地质条件，防止地表水、地下水污染，一般远离市</w:t>
            </w:r>
            <w:r>
              <w:rPr>
                <w:rFonts w:hint="eastAsia" w:ascii="仿宋" w:hAnsi="仿宋" w:cs="仿宋"/>
                <w:color w:val="000000" w:themeColor="text1"/>
                <w:spacing w:val="19"/>
                <w:sz w:val="24"/>
                <w:szCs w:val="24"/>
                <w14:textFill>
                  <w14:solidFill>
                    <w14:schemeClr w14:val="tx1"/>
                  </w14:solidFill>
                </w14:textFill>
              </w:rPr>
              <w:t>区，运输距离较</w:t>
            </w:r>
            <w:r>
              <w:rPr>
                <w:rFonts w:hint="eastAsia" w:ascii="仿宋" w:hAnsi="仿宋" w:cs="仿宋"/>
                <w:color w:val="000000" w:themeColor="text1"/>
                <w:sz w:val="24"/>
                <w:szCs w:val="24"/>
                <w14:textFill>
                  <w14:solidFill>
                    <w14:schemeClr w14:val="tx1"/>
                  </w14:solidFill>
                </w14:textFill>
              </w:rPr>
              <w:t>远。</w:t>
            </w:r>
          </w:p>
        </w:tc>
        <w:tc>
          <w:tcPr>
            <w:tcW w:w="1705" w:type="dxa"/>
            <w:vAlign w:val="center"/>
          </w:tcPr>
          <w:p w14:paraId="42CB255E">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较易，仅需避开</w:t>
            </w:r>
            <w:r>
              <w:rPr>
                <w:rFonts w:hint="eastAsia" w:ascii="仿宋" w:hAnsi="仿宋" w:cs="仿宋"/>
                <w:color w:val="000000" w:themeColor="text1"/>
                <w:spacing w:val="10"/>
                <w:sz w:val="24"/>
                <w:szCs w:val="24"/>
                <w14:textFill>
                  <w14:solidFill>
                    <w14:schemeClr w14:val="tx1"/>
                  </w14:solidFill>
                </w14:textFill>
              </w:rPr>
              <w:t>居民密集区，气</w:t>
            </w:r>
            <w:r>
              <w:rPr>
                <w:rFonts w:hint="eastAsia" w:ascii="仿宋" w:hAnsi="仿宋" w:cs="仿宋"/>
                <w:color w:val="000000" w:themeColor="text1"/>
                <w:spacing w:val="9"/>
                <w:sz w:val="24"/>
                <w:szCs w:val="24"/>
                <w14:textFill>
                  <w14:solidFill>
                    <w14:schemeClr w14:val="tx1"/>
                  </w14:solidFill>
                </w14:textFill>
              </w:rPr>
              <w:t>味影响半径小于</w:t>
            </w:r>
            <w:r>
              <w:rPr>
                <w:rFonts w:hint="eastAsia" w:ascii="仿宋" w:hAnsi="仿宋" w:cs="仿宋"/>
                <w:color w:val="000000" w:themeColor="text1"/>
                <w:spacing w:val="3"/>
                <w:sz w:val="24"/>
                <w:szCs w:val="24"/>
                <w14:textFill>
                  <w14:solidFill>
                    <w14:schemeClr w14:val="tx1"/>
                  </w14:solidFill>
                </w14:textFill>
              </w:rPr>
              <w:t>200m，运输距离</w:t>
            </w:r>
          </w:p>
          <w:p w14:paraId="06655BBF">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适中。</w:t>
            </w:r>
          </w:p>
        </w:tc>
        <w:tc>
          <w:tcPr>
            <w:tcW w:w="1946" w:type="dxa"/>
            <w:vAlign w:val="center"/>
          </w:tcPr>
          <w:p w14:paraId="797D64A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易，可靠近市区建</w:t>
            </w:r>
            <w:r>
              <w:rPr>
                <w:rFonts w:hint="eastAsia" w:ascii="仿宋" w:hAnsi="仿宋" w:cs="仿宋"/>
                <w:color w:val="000000" w:themeColor="text1"/>
                <w:spacing w:val="-5"/>
                <w:sz w:val="24"/>
                <w:szCs w:val="24"/>
                <w14:textFill>
                  <w14:solidFill>
                    <w14:schemeClr w14:val="tx1"/>
                  </w14:solidFill>
                </w14:textFill>
              </w:rPr>
              <w:t>设，运输距离较近。</w:t>
            </w:r>
          </w:p>
        </w:tc>
      </w:tr>
      <w:tr w14:paraId="791929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044" w:hRule="atLeast"/>
        </w:trPr>
        <w:tc>
          <w:tcPr>
            <w:tcW w:w="1246" w:type="dxa"/>
            <w:vAlign w:val="center"/>
          </w:tcPr>
          <w:p w14:paraId="0F96DA6D">
            <w:pPr>
              <w:spacing w:line="240" w:lineRule="auto"/>
              <w:jc w:val="center"/>
              <w:rPr>
                <w:rFonts w:hint="eastAsia" w:ascii="仿宋" w:hAnsi="仿宋" w:cs="仿宋"/>
                <w:color w:val="000000" w:themeColor="text1"/>
                <w:sz w:val="24"/>
                <w:szCs w:val="24"/>
                <w14:textFill>
                  <w14:solidFill>
                    <w14:schemeClr w14:val="tx1"/>
                  </w14:solidFill>
                </w14:textFill>
              </w:rPr>
            </w:pPr>
          </w:p>
          <w:p w14:paraId="2946444B">
            <w:pPr>
              <w:spacing w:line="240" w:lineRule="auto"/>
              <w:jc w:val="center"/>
              <w:rPr>
                <w:rFonts w:hint="eastAsia" w:ascii="仿宋" w:hAnsi="仿宋" w:cs="仿宋"/>
                <w:color w:val="000000" w:themeColor="text1"/>
                <w:sz w:val="24"/>
                <w:szCs w:val="24"/>
                <w14:textFill>
                  <w14:solidFill>
                    <w14:schemeClr w14:val="tx1"/>
                  </w14:solidFill>
                </w14:textFill>
              </w:rPr>
            </w:pPr>
          </w:p>
          <w:p w14:paraId="07B6A9AC">
            <w:pPr>
              <w:spacing w:line="240" w:lineRule="auto"/>
              <w:jc w:val="center"/>
              <w:rPr>
                <w:rFonts w:hint="eastAsia" w:ascii="仿宋" w:hAnsi="仿宋" w:cs="仿宋"/>
                <w:color w:val="000000" w:themeColor="text1"/>
                <w:sz w:val="24"/>
                <w:szCs w:val="24"/>
                <w14:textFill>
                  <w14:solidFill>
                    <w14:schemeClr w14:val="tx1"/>
                  </w14:solidFill>
                </w14:textFill>
              </w:rPr>
            </w:pPr>
          </w:p>
          <w:p w14:paraId="0597D65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适用条件</w:t>
            </w:r>
          </w:p>
        </w:tc>
        <w:tc>
          <w:tcPr>
            <w:tcW w:w="1829" w:type="dxa"/>
            <w:vAlign w:val="center"/>
          </w:tcPr>
          <w:p w14:paraId="2D06C3EA">
            <w:pPr>
              <w:spacing w:line="240" w:lineRule="auto"/>
              <w:rPr>
                <w:rFonts w:hint="eastAsia" w:ascii="仿宋" w:hAnsi="仿宋" w:cs="仿宋"/>
                <w:color w:val="000000" w:themeColor="text1"/>
                <w:sz w:val="24"/>
                <w:szCs w:val="24"/>
                <w14:textFill>
                  <w14:solidFill>
                    <w14:schemeClr w14:val="tx1"/>
                  </w14:solidFill>
                </w14:textFill>
              </w:rPr>
            </w:pPr>
          </w:p>
          <w:p w14:paraId="7796A898">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无特殊要求，如分</w:t>
            </w:r>
            <w:r>
              <w:rPr>
                <w:rFonts w:hint="eastAsia" w:ascii="仿宋" w:hAnsi="仿宋" w:cs="仿宋"/>
                <w:color w:val="000000" w:themeColor="text1"/>
                <w:spacing w:val="8"/>
                <w:sz w:val="24"/>
                <w:szCs w:val="24"/>
                <w14:textFill>
                  <w14:solidFill>
                    <w14:schemeClr w14:val="tx1"/>
                  </w14:solidFill>
                </w14:textFill>
              </w:rPr>
              <w:t>选后堆肥需要有</w:t>
            </w:r>
            <w:r>
              <w:rPr>
                <w:rFonts w:hint="eastAsia" w:ascii="仿宋" w:hAnsi="仿宋" w:cs="仿宋"/>
                <w:color w:val="000000" w:themeColor="text1"/>
                <w:spacing w:val="5"/>
                <w:sz w:val="24"/>
                <w:szCs w:val="24"/>
                <w14:textFill>
                  <w14:solidFill>
                    <w14:schemeClr w14:val="tx1"/>
                  </w14:solidFill>
                </w14:textFill>
              </w:rPr>
              <w:t>机物≥40%。</w:t>
            </w:r>
          </w:p>
        </w:tc>
        <w:tc>
          <w:tcPr>
            <w:tcW w:w="1828" w:type="dxa"/>
            <w:vAlign w:val="center"/>
          </w:tcPr>
          <w:p w14:paraId="69CEBF16">
            <w:pPr>
              <w:spacing w:line="240" w:lineRule="auto"/>
              <w:rPr>
                <w:rFonts w:hint="eastAsia" w:ascii="仿宋" w:hAnsi="仿宋" w:cs="仿宋"/>
                <w:color w:val="000000" w:themeColor="text1"/>
                <w:sz w:val="24"/>
                <w:szCs w:val="24"/>
                <w14:textFill>
                  <w14:solidFill>
                    <w14:schemeClr w14:val="tx1"/>
                  </w14:solidFill>
                </w14:textFill>
              </w:rPr>
            </w:pPr>
          </w:p>
          <w:p w14:paraId="3B85902D">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无机物&gt;60%</w:t>
            </w:r>
            <w:r>
              <w:rPr>
                <w:rFonts w:hint="eastAsia" w:ascii="仿宋" w:hAnsi="仿宋" w:cs="仿宋"/>
                <w:color w:val="000000" w:themeColor="text1"/>
                <w:spacing w:val="13"/>
                <w:sz w:val="24"/>
                <w:szCs w:val="24"/>
                <w14:textFill>
                  <w14:solidFill>
                    <w14:schemeClr w14:val="tx1"/>
                  </w14:solidFill>
                </w14:textFill>
              </w:rPr>
              <w:t>含水量&lt;30%</w:t>
            </w:r>
            <w:r>
              <w:rPr>
                <w:rFonts w:hint="eastAsia" w:ascii="仿宋" w:hAnsi="仿宋" w:cs="仿宋"/>
                <w:color w:val="000000" w:themeColor="text1"/>
                <w:spacing w:val="1"/>
                <w:sz w:val="24"/>
                <w:szCs w:val="24"/>
                <w14:textFill>
                  <w14:solidFill>
                    <w14:schemeClr w14:val="tx1"/>
                  </w14:solidFill>
                </w14:textFill>
              </w:rPr>
              <w:t>密度&gt;0.5t/d。</w:t>
            </w:r>
          </w:p>
        </w:tc>
        <w:tc>
          <w:tcPr>
            <w:tcW w:w="1705" w:type="dxa"/>
            <w:vAlign w:val="center"/>
          </w:tcPr>
          <w:p w14:paraId="0DF8D861">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从无害化角度，垃圾中可生物降</w:t>
            </w:r>
            <w:r>
              <w:rPr>
                <w:rFonts w:hint="eastAsia" w:ascii="仿宋" w:hAnsi="仿宋" w:cs="仿宋"/>
                <w:color w:val="000000" w:themeColor="text1"/>
                <w:spacing w:val="1"/>
                <w:sz w:val="24"/>
                <w:szCs w:val="24"/>
                <w14:textFill>
                  <w14:solidFill>
                    <w14:schemeClr w14:val="tx1"/>
                  </w14:solidFill>
                </w14:textFill>
              </w:rPr>
              <w:t>解有机物≥10%，</w:t>
            </w:r>
            <w:r>
              <w:rPr>
                <w:rFonts w:hint="eastAsia" w:ascii="仿宋" w:hAnsi="仿宋" w:cs="仿宋"/>
                <w:color w:val="000000" w:themeColor="text1"/>
                <w:spacing w:val="7"/>
                <w:sz w:val="24"/>
                <w:szCs w:val="24"/>
                <w14:textFill>
                  <w14:solidFill>
                    <w14:schemeClr w14:val="tx1"/>
                  </w14:solidFill>
                </w14:textFill>
              </w:rPr>
              <w:t>从肥效出发</w:t>
            </w:r>
            <w:r>
              <w:rPr>
                <w:rFonts w:hint="eastAsia" w:ascii="仿宋" w:hAnsi="仿宋" w:cs="仿宋"/>
                <w:color w:val="000000" w:themeColor="text1"/>
                <w:spacing w:val="14"/>
                <w:sz w:val="24"/>
                <w:szCs w:val="24"/>
                <w14:textFill>
                  <w14:solidFill>
                    <w14:schemeClr w14:val="tx1"/>
                  </w14:solidFill>
                </w14:textFill>
              </w:rPr>
              <w:t>应&gt;40%。</w:t>
            </w:r>
          </w:p>
        </w:tc>
        <w:tc>
          <w:tcPr>
            <w:tcW w:w="1946" w:type="dxa"/>
            <w:vAlign w:val="center"/>
          </w:tcPr>
          <w:p w14:paraId="1E91C666">
            <w:pPr>
              <w:spacing w:line="240" w:lineRule="auto"/>
              <w:rPr>
                <w:rFonts w:hint="eastAsia" w:ascii="仿宋" w:hAnsi="仿宋" w:cs="仿宋"/>
                <w:color w:val="000000" w:themeColor="text1"/>
                <w:sz w:val="24"/>
                <w:szCs w:val="24"/>
                <w14:textFill>
                  <w14:solidFill>
                    <w14:schemeClr w14:val="tx1"/>
                  </w14:solidFill>
                </w14:textFill>
              </w:rPr>
            </w:pPr>
          </w:p>
          <w:p w14:paraId="597503A1">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入炉垃圾低位热</w:t>
            </w:r>
            <w:r>
              <w:rPr>
                <w:rFonts w:hint="eastAsia" w:ascii="仿宋" w:hAnsi="仿宋" w:cs="仿宋"/>
                <w:color w:val="000000" w:themeColor="text1"/>
                <w:spacing w:val="5"/>
                <w:sz w:val="24"/>
                <w:szCs w:val="24"/>
                <w14:textFill>
                  <w14:solidFill>
                    <w14:schemeClr w14:val="tx1"/>
                  </w14:solidFill>
                </w14:textFill>
              </w:rPr>
              <w:t>值&gt;5000</w:t>
            </w:r>
            <w:r>
              <w:rPr>
                <w:rFonts w:hint="eastAsia" w:ascii="仿宋" w:hAnsi="仿宋" w:cs="仿宋"/>
                <w:color w:val="000000" w:themeColor="text1"/>
                <w:sz w:val="24"/>
                <w:szCs w:val="24"/>
                <w14:textFill>
                  <w14:solidFill>
                    <w14:schemeClr w14:val="tx1"/>
                  </w14:solidFill>
                </w14:textFill>
              </w:rPr>
              <w:t>kJ</w:t>
            </w:r>
            <w:r>
              <w:rPr>
                <w:rFonts w:hint="eastAsia" w:ascii="仿宋" w:hAnsi="仿宋" w:cs="仿宋"/>
                <w:color w:val="000000" w:themeColor="text1"/>
                <w:spacing w:val="5"/>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kg</w:t>
            </w:r>
            <w:r>
              <w:rPr>
                <w:rFonts w:hint="eastAsia" w:ascii="仿宋" w:hAnsi="仿宋" w:cs="仿宋"/>
                <w:color w:val="000000" w:themeColor="text1"/>
                <w:spacing w:val="5"/>
                <w:sz w:val="24"/>
                <w:szCs w:val="24"/>
                <w14:textFill>
                  <w14:solidFill>
                    <w14:schemeClr w14:val="tx1"/>
                  </w14:solidFill>
                </w14:textFill>
              </w:rPr>
              <w:t>时不</w:t>
            </w:r>
            <w:r>
              <w:rPr>
                <w:rFonts w:hint="eastAsia" w:ascii="仿宋" w:hAnsi="仿宋" w:cs="仿宋"/>
                <w:color w:val="000000" w:themeColor="text1"/>
                <w:spacing w:val="7"/>
                <w:sz w:val="24"/>
                <w:szCs w:val="24"/>
                <w14:textFill>
                  <w14:solidFill>
                    <w14:schemeClr w14:val="tx1"/>
                  </w14:solidFill>
                </w14:textFill>
              </w:rPr>
              <w:t>需添加辅助燃料。</w:t>
            </w:r>
          </w:p>
        </w:tc>
      </w:tr>
      <w:tr w14:paraId="032FDB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228" w:hRule="atLeast"/>
        </w:trPr>
        <w:tc>
          <w:tcPr>
            <w:tcW w:w="1246" w:type="dxa"/>
            <w:vAlign w:val="center"/>
          </w:tcPr>
          <w:p w14:paraId="5563AB07">
            <w:pPr>
              <w:spacing w:line="240" w:lineRule="auto"/>
              <w:jc w:val="center"/>
              <w:rPr>
                <w:rFonts w:hint="eastAsia" w:ascii="仿宋" w:hAnsi="仿宋" w:cs="仿宋"/>
                <w:color w:val="000000" w:themeColor="text1"/>
                <w:sz w:val="24"/>
                <w:szCs w:val="24"/>
                <w14:textFill>
                  <w14:solidFill>
                    <w14:schemeClr w14:val="tx1"/>
                  </w14:solidFill>
                </w14:textFill>
              </w:rPr>
            </w:pPr>
          </w:p>
          <w:p w14:paraId="6BA5042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最终处置</w:t>
            </w:r>
          </w:p>
        </w:tc>
        <w:tc>
          <w:tcPr>
            <w:tcW w:w="1829" w:type="dxa"/>
            <w:vAlign w:val="center"/>
          </w:tcPr>
          <w:p w14:paraId="349E5458">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通过回收处理，剩</w:t>
            </w:r>
            <w:r>
              <w:rPr>
                <w:rFonts w:hint="eastAsia" w:ascii="仿宋" w:hAnsi="仿宋" w:cs="仿宋"/>
                <w:color w:val="000000" w:themeColor="text1"/>
                <w:spacing w:val="8"/>
                <w:sz w:val="24"/>
                <w:szCs w:val="24"/>
                <w14:textFill>
                  <w14:solidFill>
                    <w14:schemeClr w14:val="tx1"/>
                  </w14:solidFill>
                </w14:textFill>
              </w:rPr>
              <w:t>余物仍需焚烧或</w:t>
            </w:r>
            <w:r>
              <w:rPr>
                <w:rFonts w:hint="eastAsia" w:ascii="仿宋" w:hAnsi="仿宋" w:cs="仿宋"/>
                <w:color w:val="000000" w:themeColor="text1"/>
                <w:spacing w:val="5"/>
                <w:sz w:val="24"/>
                <w:szCs w:val="24"/>
                <w14:textFill>
                  <w14:solidFill>
                    <w14:schemeClr w14:val="tx1"/>
                  </w14:solidFill>
                </w14:textFill>
              </w:rPr>
              <w:t>填埋处理。</w:t>
            </w:r>
          </w:p>
        </w:tc>
        <w:tc>
          <w:tcPr>
            <w:tcW w:w="1828" w:type="dxa"/>
            <w:vAlign w:val="center"/>
          </w:tcPr>
          <w:p w14:paraId="391682B8">
            <w:pPr>
              <w:spacing w:line="240" w:lineRule="auto"/>
              <w:rPr>
                <w:rFonts w:hint="eastAsia" w:ascii="仿宋" w:hAnsi="仿宋" w:cs="仿宋"/>
                <w:color w:val="000000" w:themeColor="text1"/>
                <w:sz w:val="24"/>
                <w:szCs w:val="24"/>
                <w14:textFill>
                  <w14:solidFill>
                    <w14:schemeClr w14:val="tx1"/>
                  </w14:solidFill>
                </w14:textFill>
              </w:rPr>
            </w:pPr>
          </w:p>
          <w:p w14:paraId="2FA1A30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无</w:t>
            </w:r>
          </w:p>
        </w:tc>
        <w:tc>
          <w:tcPr>
            <w:tcW w:w="1705" w:type="dxa"/>
            <w:vAlign w:val="center"/>
          </w:tcPr>
          <w:p w14:paraId="66F77F95">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非堆肥物需作填埋处理，为初始</w:t>
            </w:r>
            <w:r>
              <w:rPr>
                <w:rFonts w:hint="eastAsia" w:ascii="仿宋" w:hAnsi="仿宋" w:cs="仿宋"/>
                <w:color w:val="000000" w:themeColor="text1"/>
                <w:spacing w:val="10"/>
                <w:sz w:val="24"/>
                <w:szCs w:val="24"/>
                <w14:textFill>
                  <w14:solidFill>
                    <w14:schemeClr w14:val="tx1"/>
                  </w14:solidFill>
                </w14:textFill>
              </w:rPr>
              <w:t>量的20-25%。</w:t>
            </w:r>
          </w:p>
        </w:tc>
        <w:tc>
          <w:tcPr>
            <w:tcW w:w="1946" w:type="dxa"/>
            <w:vAlign w:val="center"/>
          </w:tcPr>
          <w:p w14:paraId="3FE65AA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仅残渣需作填埋处理，为初始量的</w:t>
            </w:r>
            <w:r>
              <w:rPr>
                <w:rFonts w:hint="eastAsia" w:ascii="仿宋" w:hAnsi="仿宋" w:cs="仿宋"/>
                <w:color w:val="000000" w:themeColor="text1"/>
                <w:sz w:val="24"/>
                <w:szCs w:val="24"/>
                <w14:textFill>
                  <w14:solidFill>
                    <w14:schemeClr w14:val="tx1"/>
                  </w14:solidFill>
                </w14:textFill>
              </w:rPr>
              <w:t>10-20%。</w:t>
            </w:r>
          </w:p>
        </w:tc>
      </w:tr>
      <w:tr w14:paraId="263BAB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246" w:type="dxa"/>
            <w:vAlign w:val="center"/>
          </w:tcPr>
          <w:p w14:paraId="5DF4937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产品市场</w:t>
            </w:r>
          </w:p>
        </w:tc>
        <w:tc>
          <w:tcPr>
            <w:tcW w:w="1829" w:type="dxa"/>
            <w:vAlign w:val="center"/>
          </w:tcPr>
          <w:p w14:paraId="0ACAFA9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可回收部分原材</w:t>
            </w:r>
            <w:r>
              <w:rPr>
                <w:rFonts w:hint="eastAsia" w:ascii="仿宋" w:hAnsi="仿宋" w:cs="仿宋"/>
                <w:color w:val="000000" w:themeColor="text1"/>
                <w:sz w:val="24"/>
                <w:szCs w:val="24"/>
                <w14:textFill>
                  <w14:solidFill>
                    <w14:schemeClr w14:val="tx1"/>
                  </w14:solidFill>
                </w14:textFill>
              </w:rPr>
              <w:t>料</w:t>
            </w:r>
          </w:p>
        </w:tc>
        <w:tc>
          <w:tcPr>
            <w:tcW w:w="1828" w:type="dxa"/>
            <w:vAlign w:val="center"/>
          </w:tcPr>
          <w:p w14:paraId="27FCCEC6">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可回收沼气发电。</w:t>
            </w:r>
          </w:p>
        </w:tc>
        <w:tc>
          <w:tcPr>
            <w:tcW w:w="1705" w:type="dxa"/>
            <w:vAlign w:val="center"/>
          </w:tcPr>
          <w:p w14:paraId="289539D4">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建立稳定的堆肥</w:t>
            </w:r>
            <w:r>
              <w:rPr>
                <w:rFonts w:hint="eastAsia" w:ascii="仿宋" w:hAnsi="仿宋" w:cs="仿宋"/>
                <w:color w:val="000000" w:themeColor="text1"/>
                <w:spacing w:val="5"/>
                <w:sz w:val="24"/>
                <w:szCs w:val="24"/>
                <w14:textFill>
                  <w14:solidFill>
                    <w14:schemeClr w14:val="tx1"/>
                  </w14:solidFill>
                </w14:textFill>
              </w:rPr>
              <w:t>市场较困难。</w:t>
            </w:r>
          </w:p>
        </w:tc>
        <w:tc>
          <w:tcPr>
            <w:tcW w:w="1946" w:type="dxa"/>
            <w:vAlign w:val="center"/>
          </w:tcPr>
          <w:p w14:paraId="7FD840D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能产生热能或电</w:t>
            </w:r>
            <w:r>
              <w:rPr>
                <w:rFonts w:hint="eastAsia" w:ascii="仿宋" w:hAnsi="仿宋" w:cs="仿宋"/>
                <w:color w:val="000000" w:themeColor="text1"/>
                <w:spacing w:val="-4"/>
                <w:sz w:val="24"/>
                <w:szCs w:val="24"/>
                <w14:textFill>
                  <w14:solidFill>
                    <w14:schemeClr w14:val="tx1"/>
                  </w14:solidFill>
                </w14:textFill>
              </w:rPr>
              <w:t>能。</w:t>
            </w:r>
          </w:p>
        </w:tc>
      </w:tr>
      <w:tr w14:paraId="0DC87AC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246" w:type="dxa"/>
            <w:vAlign w:val="center"/>
          </w:tcPr>
          <w:p w14:paraId="5A1F029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建设投资</w:t>
            </w:r>
          </w:p>
        </w:tc>
        <w:tc>
          <w:tcPr>
            <w:tcW w:w="1829" w:type="dxa"/>
            <w:vAlign w:val="center"/>
          </w:tcPr>
          <w:p w14:paraId="72B3635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适中</w:t>
            </w:r>
          </w:p>
        </w:tc>
        <w:tc>
          <w:tcPr>
            <w:tcW w:w="1828" w:type="dxa"/>
            <w:vAlign w:val="center"/>
          </w:tcPr>
          <w:p w14:paraId="66F831C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较低</w:t>
            </w:r>
          </w:p>
        </w:tc>
        <w:tc>
          <w:tcPr>
            <w:tcW w:w="1705" w:type="dxa"/>
            <w:vAlign w:val="center"/>
          </w:tcPr>
          <w:p w14:paraId="5A9A089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适中</w:t>
            </w:r>
          </w:p>
        </w:tc>
        <w:tc>
          <w:tcPr>
            <w:tcW w:w="1946" w:type="dxa"/>
            <w:vAlign w:val="center"/>
          </w:tcPr>
          <w:p w14:paraId="6248614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较高</w:t>
            </w:r>
          </w:p>
        </w:tc>
      </w:tr>
      <w:tr w14:paraId="092B5E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246" w:type="dxa"/>
            <w:vAlign w:val="center"/>
          </w:tcPr>
          <w:p w14:paraId="5F1B98B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运营成本</w:t>
            </w:r>
          </w:p>
        </w:tc>
        <w:tc>
          <w:tcPr>
            <w:tcW w:w="1829" w:type="dxa"/>
            <w:vAlign w:val="center"/>
          </w:tcPr>
          <w:p w14:paraId="40BE453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适中</w:t>
            </w:r>
          </w:p>
        </w:tc>
        <w:tc>
          <w:tcPr>
            <w:tcW w:w="1828" w:type="dxa"/>
            <w:vAlign w:val="center"/>
          </w:tcPr>
          <w:p w14:paraId="5E72840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较低</w:t>
            </w:r>
          </w:p>
        </w:tc>
        <w:tc>
          <w:tcPr>
            <w:tcW w:w="1705" w:type="dxa"/>
            <w:vAlign w:val="center"/>
          </w:tcPr>
          <w:p w14:paraId="6A3F149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适中</w:t>
            </w:r>
          </w:p>
        </w:tc>
        <w:tc>
          <w:tcPr>
            <w:tcW w:w="1946" w:type="dxa"/>
            <w:vAlign w:val="center"/>
          </w:tcPr>
          <w:p w14:paraId="110508B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较高</w:t>
            </w:r>
          </w:p>
        </w:tc>
      </w:tr>
      <w:tr w14:paraId="03C902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1246" w:type="dxa"/>
            <w:vAlign w:val="center"/>
          </w:tcPr>
          <w:p w14:paraId="5FD3F836">
            <w:pPr>
              <w:spacing w:line="240" w:lineRule="auto"/>
              <w:jc w:val="center"/>
              <w:rPr>
                <w:rFonts w:hint="eastAsia" w:ascii="仿宋" w:hAnsi="仿宋" w:cs="仿宋"/>
                <w:color w:val="000000" w:themeColor="text1"/>
                <w:sz w:val="24"/>
                <w:szCs w:val="24"/>
                <w14:textFill>
                  <w14:solidFill>
                    <w14:schemeClr w14:val="tx1"/>
                  </w14:solidFill>
                </w14:textFill>
              </w:rPr>
            </w:pPr>
          </w:p>
          <w:p w14:paraId="61E6088E">
            <w:pPr>
              <w:spacing w:line="240" w:lineRule="auto"/>
              <w:jc w:val="center"/>
              <w:rPr>
                <w:rFonts w:hint="eastAsia" w:ascii="仿宋" w:hAnsi="仿宋" w:cs="仿宋"/>
                <w:color w:val="000000" w:themeColor="text1"/>
                <w:sz w:val="24"/>
                <w:szCs w:val="24"/>
                <w14:textFill>
                  <w14:solidFill>
                    <w14:schemeClr w14:val="tx1"/>
                  </w14:solidFill>
                </w14:textFill>
              </w:rPr>
            </w:pPr>
          </w:p>
          <w:p w14:paraId="50E320B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资源回收</w:t>
            </w:r>
          </w:p>
        </w:tc>
        <w:tc>
          <w:tcPr>
            <w:tcW w:w="1829" w:type="dxa"/>
            <w:vAlign w:val="center"/>
          </w:tcPr>
          <w:p w14:paraId="346B640D">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前处理工序可回</w:t>
            </w:r>
            <w:r>
              <w:rPr>
                <w:rFonts w:hint="eastAsia" w:ascii="仿宋" w:hAnsi="仿宋" w:cs="仿宋"/>
                <w:color w:val="000000" w:themeColor="text1"/>
                <w:spacing w:val="-1"/>
                <w:sz w:val="24"/>
                <w:szCs w:val="24"/>
                <w14:textFill>
                  <w14:solidFill>
                    <w14:schemeClr w14:val="tx1"/>
                  </w14:solidFill>
                </w14:textFill>
              </w:rPr>
              <w:t>收部分原料，但取</w:t>
            </w:r>
            <w:r>
              <w:rPr>
                <w:rFonts w:hint="eastAsia" w:ascii="仿宋" w:hAnsi="仿宋" w:cs="仿宋"/>
                <w:color w:val="000000" w:themeColor="text1"/>
                <w:spacing w:val="7"/>
                <w:sz w:val="24"/>
                <w:szCs w:val="24"/>
                <w14:textFill>
                  <w14:solidFill>
                    <w14:schemeClr w14:val="tx1"/>
                  </w14:solidFill>
                </w14:textFill>
              </w:rPr>
              <w:t>决于垃圾中可利</w:t>
            </w:r>
            <w:r>
              <w:rPr>
                <w:rFonts w:hint="eastAsia" w:ascii="仿宋" w:hAnsi="仿宋" w:cs="仿宋"/>
                <w:color w:val="000000" w:themeColor="text1"/>
                <w:spacing w:val="6"/>
                <w:sz w:val="24"/>
                <w:szCs w:val="24"/>
                <w14:textFill>
                  <w14:solidFill>
                    <w14:schemeClr w14:val="tx1"/>
                  </w14:solidFill>
                </w14:textFill>
              </w:rPr>
              <w:t>用物的比例。</w:t>
            </w:r>
          </w:p>
        </w:tc>
        <w:tc>
          <w:tcPr>
            <w:tcW w:w="1828" w:type="dxa"/>
            <w:vAlign w:val="center"/>
          </w:tcPr>
          <w:p w14:paraId="16EA1074">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无现场分选回收</w:t>
            </w:r>
            <w:r>
              <w:rPr>
                <w:rFonts w:hint="eastAsia" w:ascii="仿宋" w:hAnsi="仿宋" w:cs="仿宋"/>
                <w:color w:val="000000" w:themeColor="text1"/>
                <w:sz w:val="24"/>
                <w:szCs w:val="24"/>
                <w14:textFill>
                  <w14:solidFill>
                    <w14:schemeClr w14:val="tx1"/>
                  </w14:solidFill>
                </w14:textFill>
              </w:rPr>
              <w:t>实例，但有潜在可</w:t>
            </w:r>
            <w:r>
              <w:rPr>
                <w:rFonts w:hint="eastAsia" w:ascii="仿宋" w:hAnsi="仿宋" w:cs="仿宋"/>
                <w:color w:val="000000" w:themeColor="text1"/>
                <w:spacing w:val="-4"/>
                <w:sz w:val="24"/>
                <w:szCs w:val="24"/>
                <w14:textFill>
                  <w14:solidFill>
                    <w14:schemeClr w14:val="tx1"/>
                  </w14:solidFill>
                </w14:textFill>
              </w:rPr>
              <w:t>能。</w:t>
            </w:r>
          </w:p>
        </w:tc>
        <w:tc>
          <w:tcPr>
            <w:tcW w:w="1705" w:type="dxa"/>
            <w:vAlign w:val="center"/>
          </w:tcPr>
          <w:p w14:paraId="2C8601CA">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前处理工序可回收部分原料，但取决于垃圾中可</w:t>
            </w:r>
            <w:r>
              <w:rPr>
                <w:rFonts w:hint="eastAsia" w:ascii="仿宋" w:hAnsi="仿宋" w:cs="仿宋"/>
                <w:color w:val="000000" w:themeColor="text1"/>
                <w:spacing w:val="6"/>
                <w:sz w:val="24"/>
                <w:szCs w:val="24"/>
                <w14:textFill>
                  <w14:solidFill>
                    <w14:schemeClr w14:val="tx1"/>
                  </w14:solidFill>
                </w14:textFill>
              </w:rPr>
              <w:t>利用物的比例。</w:t>
            </w:r>
          </w:p>
        </w:tc>
        <w:tc>
          <w:tcPr>
            <w:tcW w:w="1946" w:type="dxa"/>
            <w:vAlign w:val="center"/>
          </w:tcPr>
          <w:p w14:paraId="2BFF7F7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前处理工序可回收部分原料，但取决于垃圾中可利用物</w:t>
            </w:r>
            <w:r>
              <w:rPr>
                <w:rFonts w:hint="eastAsia" w:ascii="仿宋" w:hAnsi="仿宋" w:cs="仿宋"/>
                <w:color w:val="000000" w:themeColor="text1"/>
                <w:sz w:val="24"/>
                <w:szCs w:val="24"/>
                <w14:textFill>
                  <w14:solidFill>
                    <w14:schemeClr w14:val="tx1"/>
                  </w14:solidFill>
                </w14:textFill>
              </w:rPr>
              <w:t>的比例。</w:t>
            </w:r>
          </w:p>
        </w:tc>
      </w:tr>
      <w:tr w14:paraId="265FE0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246" w:type="dxa"/>
            <w:vAlign w:val="center"/>
          </w:tcPr>
          <w:p w14:paraId="517DF3E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稳定化时</w:t>
            </w:r>
            <w:r>
              <w:rPr>
                <w:rFonts w:hint="eastAsia" w:ascii="仿宋" w:hAnsi="仿宋" w:cs="仿宋"/>
                <w:color w:val="000000" w:themeColor="text1"/>
                <w:sz w:val="24"/>
                <w:szCs w:val="24"/>
                <w14:textFill>
                  <w14:solidFill>
                    <w14:schemeClr w14:val="tx1"/>
                  </w14:solidFill>
                </w14:textFill>
              </w:rPr>
              <w:t>间</w:t>
            </w:r>
          </w:p>
        </w:tc>
        <w:tc>
          <w:tcPr>
            <w:tcW w:w="1829" w:type="dxa"/>
            <w:vAlign w:val="center"/>
          </w:tcPr>
          <w:p w14:paraId="6803A96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1天</w:t>
            </w:r>
          </w:p>
        </w:tc>
        <w:tc>
          <w:tcPr>
            <w:tcW w:w="1828" w:type="dxa"/>
            <w:vAlign w:val="center"/>
          </w:tcPr>
          <w:p w14:paraId="6F87D51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20-50年</w:t>
            </w:r>
          </w:p>
        </w:tc>
        <w:tc>
          <w:tcPr>
            <w:tcW w:w="1705" w:type="dxa"/>
            <w:vAlign w:val="center"/>
          </w:tcPr>
          <w:p w14:paraId="49070EC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15-60天</w:t>
            </w:r>
          </w:p>
        </w:tc>
        <w:tc>
          <w:tcPr>
            <w:tcW w:w="1946" w:type="dxa"/>
            <w:vAlign w:val="center"/>
          </w:tcPr>
          <w:p w14:paraId="2ECDC08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2小时</w:t>
            </w:r>
          </w:p>
        </w:tc>
      </w:tr>
      <w:tr w14:paraId="3E1B6E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1246" w:type="dxa"/>
            <w:tcBorders>
              <w:bottom w:val="single" w:color="000000" w:sz="10" w:space="0"/>
            </w:tcBorders>
            <w:vAlign w:val="center"/>
          </w:tcPr>
          <w:p w14:paraId="4739FF7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地表水污</w:t>
            </w:r>
            <w:r>
              <w:rPr>
                <w:rFonts w:hint="eastAsia" w:ascii="仿宋" w:hAnsi="仿宋" w:cs="仿宋"/>
                <w:color w:val="000000" w:themeColor="text1"/>
                <w:sz w:val="24"/>
                <w:szCs w:val="24"/>
                <w14:textFill>
                  <w14:solidFill>
                    <w14:schemeClr w14:val="tx1"/>
                  </w14:solidFill>
                </w14:textFill>
              </w:rPr>
              <w:t>染</w:t>
            </w:r>
          </w:p>
        </w:tc>
        <w:tc>
          <w:tcPr>
            <w:tcW w:w="1829" w:type="dxa"/>
            <w:vAlign w:val="center"/>
          </w:tcPr>
          <w:p w14:paraId="170A7D28">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在处理厂区无，但</w:t>
            </w:r>
            <w:r>
              <w:rPr>
                <w:rFonts w:hint="eastAsia" w:ascii="仿宋" w:hAnsi="仿宋" w:cs="仿宋"/>
                <w:color w:val="000000" w:themeColor="text1"/>
                <w:spacing w:val="18"/>
                <w:sz w:val="24"/>
                <w:szCs w:val="24"/>
                <w14:textFill>
                  <w14:solidFill>
                    <w14:schemeClr w14:val="tx1"/>
                  </w14:solidFill>
                </w14:textFill>
              </w:rPr>
              <w:t>其剩余物资仍进</w:t>
            </w:r>
            <w:r>
              <w:rPr>
                <w:rFonts w:hint="eastAsia" w:ascii="仿宋" w:hAnsi="仿宋" w:cs="仿宋"/>
                <w:color w:val="000000" w:themeColor="text1"/>
                <w:sz w:val="24"/>
                <w:szCs w:val="24"/>
                <w14:textFill>
                  <w14:solidFill>
                    <w14:schemeClr w14:val="tx1"/>
                  </w14:solidFill>
                </w14:textFill>
              </w:rPr>
              <w:t>一步处理，污染可</w:t>
            </w:r>
            <w:r>
              <w:rPr>
                <w:rFonts w:hint="eastAsia" w:ascii="仿宋" w:hAnsi="仿宋" w:cs="仿宋"/>
                <w:color w:val="000000" w:themeColor="text1"/>
                <w:spacing w:val="6"/>
                <w:sz w:val="24"/>
                <w:szCs w:val="24"/>
                <w14:textFill>
                  <w14:solidFill>
                    <w14:schemeClr w14:val="tx1"/>
                  </w14:solidFill>
                </w14:textFill>
              </w:rPr>
              <w:t>能性和填埋相仿。</w:t>
            </w:r>
          </w:p>
        </w:tc>
        <w:tc>
          <w:tcPr>
            <w:tcW w:w="1828" w:type="dxa"/>
            <w:vAlign w:val="center"/>
          </w:tcPr>
          <w:p w14:paraId="087023DA">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有可能，但可采取</w:t>
            </w:r>
            <w:r>
              <w:rPr>
                <w:rFonts w:hint="eastAsia" w:ascii="仿宋" w:hAnsi="仿宋" w:cs="仿宋"/>
                <w:color w:val="000000" w:themeColor="text1"/>
                <w:spacing w:val="4"/>
                <w:sz w:val="24"/>
                <w:szCs w:val="24"/>
                <w14:textFill>
                  <w14:solidFill>
                    <w14:schemeClr w14:val="tx1"/>
                  </w14:solidFill>
                </w14:textFill>
              </w:rPr>
              <w:t>措施减少可能性。</w:t>
            </w:r>
          </w:p>
        </w:tc>
        <w:tc>
          <w:tcPr>
            <w:tcW w:w="1705" w:type="dxa"/>
            <w:vAlign w:val="center"/>
          </w:tcPr>
          <w:p w14:paraId="511C1E23">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在非堆肥物填埋</w:t>
            </w:r>
          </w:p>
          <w:p w14:paraId="3EBD0A8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时与卫生填埋相</w:t>
            </w:r>
            <w:r>
              <w:rPr>
                <w:rFonts w:hint="eastAsia" w:ascii="仿宋" w:hAnsi="仿宋" w:cs="仿宋"/>
                <w:color w:val="000000" w:themeColor="text1"/>
                <w:spacing w:val="-1"/>
                <w:sz w:val="24"/>
                <w:szCs w:val="24"/>
                <w14:textFill>
                  <w14:solidFill>
                    <w14:schemeClr w14:val="tx1"/>
                  </w14:solidFill>
                </w14:textFill>
              </w:rPr>
              <w:t>仿。</w:t>
            </w:r>
          </w:p>
        </w:tc>
        <w:tc>
          <w:tcPr>
            <w:tcW w:w="1946" w:type="dxa"/>
            <w:tcBorders>
              <w:bottom w:val="single" w:color="000000" w:sz="10" w:space="0"/>
            </w:tcBorders>
            <w:vAlign w:val="center"/>
          </w:tcPr>
          <w:p w14:paraId="754A4A90">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在处理厂区无，在炉灰填埋时，其对地表水污染的可能</w:t>
            </w:r>
            <w:r>
              <w:rPr>
                <w:rFonts w:hint="eastAsia" w:ascii="仿宋" w:hAnsi="仿宋" w:cs="仿宋"/>
                <w:color w:val="000000" w:themeColor="text1"/>
                <w:spacing w:val="6"/>
                <w:sz w:val="24"/>
                <w:szCs w:val="24"/>
                <w14:textFill>
                  <w14:solidFill>
                    <w14:schemeClr w14:val="tx1"/>
                  </w14:solidFill>
                </w14:textFill>
              </w:rPr>
              <w:t>性比填埋小。</w:t>
            </w:r>
          </w:p>
        </w:tc>
      </w:tr>
      <w:tr w14:paraId="4C64FA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49" w:hRule="atLeast"/>
        </w:trPr>
        <w:tc>
          <w:tcPr>
            <w:tcW w:w="1246" w:type="dxa"/>
            <w:vAlign w:val="center"/>
          </w:tcPr>
          <w:p w14:paraId="3D7944E4">
            <w:pPr>
              <w:spacing w:before="65" w:line="240" w:lineRule="auto"/>
              <w:ind w:right="19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地下水污</w:t>
            </w:r>
            <w:r>
              <w:rPr>
                <w:rFonts w:hint="eastAsia" w:ascii="仿宋" w:hAnsi="仿宋" w:cs="仿宋"/>
                <w:color w:val="000000" w:themeColor="text1"/>
                <w:sz w:val="24"/>
                <w:szCs w:val="24"/>
                <w14:textFill>
                  <w14:solidFill>
                    <w14:schemeClr w14:val="tx1"/>
                  </w14:solidFill>
                </w14:textFill>
              </w:rPr>
              <w:t>染</w:t>
            </w:r>
          </w:p>
        </w:tc>
        <w:tc>
          <w:tcPr>
            <w:tcW w:w="1829" w:type="dxa"/>
            <w:vAlign w:val="center"/>
          </w:tcPr>
          <w:p w14:paraId="7054BD89">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在处理厂区无，但</w:t>
            </w:r>
            <w:r>
              <w:rPr>
                <w:rFonts w:hint="eastAsia" w:ascii="仿宋" w:hAnsi="仿宋" w:cs="仿宋"/>
                <w:color w:val="000000" w:themeColor="text1"/>
                <w:spacing w:val="18"/>
                <w:sz w:val="24"/>
                <w:szCs w:val="24"/>
                <w14:textFill>
                  <w14:solidFill>
                    <w14:schemeClr w14:val="tx1"/>
                  </w14:solidFill>
                </w14:textFill>
              </w:rPr>
              <w:t>其剩余物资仍进</w:t>
            </w:r>
            <w:r>
              <w:rPr>
                <w:rFonts w:hint="eastAsia" w:ascii="仿宋" w:hAnsi="仿宋" w:cs="仿宋"/>
                <w:color w:val="000000" w:themeColor="text1"/>
                <w:sz w:val="24"/>
                <w:szCs w:val="24"/>
                <w14:textFill>
                  <w14:solidFill>
                    <w14:schemeClr w14:val="tx1"/>
                  </w14:solidFill>
                </w14:textFill>
              </w:rPr>
              <w:t>一步处理，污染可</w:t>
            </w:r>
            <w:r>
              <w:rPr>
                <w:rFonts w:hint="eastAsia" w:ascii="仿宋" w:hAnsi="仿宋" w:cs="仿宋"/>
                <w:color w:val="000000" w:themeColor="text1"/>
                <w:spacing w:val="3"/>
                <w:sz w:val="24"/>
                <w:szCs w:val="24"/>
                <w14:textFill>
                  <w14:solidFill>
                    <w14:schemeClr w14:val="tx1"/>
                  </w14:solidFill>
                </w14:textFill>
              </w:rPr>
              <w:t>能性和填埋相仿。</w:t>
            </w:r>
          </w:p>
        </w:tc>
        <w:tc>
          <w:tcPr>
            <w:tcW w:w="1828" w:type="dxa"/>
            <w:vAlign w:val="center"/>
          </w:tcPr>
          <w:p w14:paraId="7DF8216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有可能，虽可采取</w:t>
            </w:r>
            <w:r>
              <w:rPr>
                <w:rFonts w:hint="eastAsia" w:ascii="仿宋" w:hAnsi="仿宋" w:cs="仿宋"/>
                <w:color w:val="000000" w:themeColor="text1"/>
                <w:spacing w:val="-1"/>
                <w:sz w:val="24"/>
                <w:szCs w:val="24"/>
                <w14:textFill>
                  <w14:solidFill>
                    <w14:schemeClr w14:val="tx1"/>
                  </w14:solidFill>
                </w14:textFill>
              </w:rPr>
              <w:t>防渗措施，但仍然</w:t>
            </w:r>
            <w:r>
              <w:rPr>
                <w:rFonts w:hint="eastAsia" w:ascii="仿宋" w:hAnsi="仿宋" w:cs="仿宋"/>
                <w:color w:val="000000" w:themeColor="text1"/>
                <w:spacing w:val="15"/>
                <w:sz w:val="24"/>
                <w:szCs w:val="24"/>
                <w14:textFill>
                  <w14:solidFill>
                    <w14:schemeClr w14:val="tx1"/>
                  </w14:solidFill>
                </w14:textFill>
              </w:rPr>
              <w:t>可能发生渗漏。</w:t>
            </w:r>
          </w:p>
        </w:tc>
        <w:tc>
          <w:tcPr>
            <w:tcW w:w="1705" w:type="dxa"/>
            <w:vAlign w:val="center"/>
          </w:tcPr>
          <w:p w14:paraId="3325AD1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重金属等可能随堆肥制品污染地</w:t>
            </w:r>
            <w:r>
              <w:rPr>
                <w:rFonts w:hint="eastAsia" w:ascii="仿宋" w:hAnsi="仿宋" w:cs="仿宋"/>
                <w:color w:val="000000" w:themeColor="text1"/>
                <w:spacing w:val="1"/>
                <w:sz w:val="24"/>
                <w:szCs w:val="24"/>
                <w14:textFill>
                  <w14:solidFill>
                    <w14:schemeClr w14:val="tx1"/>
                  </w14:solidFill>
                </w14:textFill>
              </w:rPr>
              <w:t>下水。</w:t>
            </w:r>
          </w:p>
        </w:tc>
        <w:tc>
          <w:tcPr>
            <w:tcW w:w="1946" w:type="dxa"/>
            <w:vAlign w:val="center"/>
          </w:tcPr>
          <w:p w14:paraId="476EAC11">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灰渣中没有有机质</w:t>
            </w:r>
          </w:p>
          <w:p w14:paraId="7BCBD80C">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等污染物，飞灰仅</w:t>
            </w:r>
          </w:p>
          <w:p w14:paraId="562C3653">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需填埋时采取固化</w:t>
            </w:r>
          </w:p>
          <w:p w14:paraId="792CF2A1">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等措施可防止污染，会产生一定比</w:t>
            </w:r>
            <w:r>
              <w:rPr>
                <w:rFonts w:hint="eastAsia" w:ascii="仿宋" w:hAnsi="仿宋" w:cs="仿宋"/>
                <w:color w:val="000000" w:themeColor="text1"/>
                <w:spacing w:val="6"/>
                <w:sz w:val="24"/>
                <w:szCs w:val="24"/>
                <w14:textFill>
                  <w14:solidFill>
                    <w14:schemeClr w14:val="tx1"/>
                  </w14:solidFill>
                </w14:textFill>
              </w:rPr>
              <w:t>例的渗沥液。</w:t>
            </w:r>
          </w:p>
        </w:tc>
      </w:tr>
      <w:tr w14:paraId="73DC72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1246" w:type="dxa"/>
            <w:vAlign w:val="center"/>
          </w:tcPr>
          <w:p w14:paraId="58EDF5C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大气污染</w:t>
            </w:r>
          </w:p>
        </w:tc>
        <w:tc>
          <w:tcPr>
            <w:tcW w:w="1829" w:type="dxa"/>
            <w:vAlign w:val="center"/>
          </w:tcPr>
          <w:p w14:paraId="3BFAB05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有，但一般在车间</w:t>
            </w:r>
            <w:r>
              <w:rPr>
                <w:rFonts w:hint="eastAsia" w:ascii="仿宋" w:hAnsi="仿宋" w:cs="仿宋"/>
                <w:color w:val="000000" w:themeColor="text1"/>
                <w:spacing w:val="-3"/>
                <w:sz w:val="24"/>
                <w:szCs w:val="24"/>
                <w14:textFill>
                  <w14:solidFill>
                    <w14:schemeClr w14:val="tx1"/>
                  </w14:solidFill>
                </w14:textFill>
              </w:rPr>
              <w:t>内运行，可以采取</w:t>
            </w:r>
            <w:r>
              <w:rPr>
                <w:rFonts w:hint="eastAsia" w:ascii="仿宋" w:hAnsi="仿宋" w:cs="仿宋"/>
                <w:color w:val="000000" w:themeColor="text1"/>
                <w:spacing w:val="14"/>
                <w:sz w:val="24"/>
                <w:szCs w:val="24"/>
                <w14:textFill>
                  <w14:solidFill>
                    <w14:schemeClr w14:val="tx1"/>
                  </w14:solidFill>
                </w14:textFill>
              </w:rPr>
              <w:t>相关措施控制。</w:t>
            </w:r>
          </w:p>
        </w:tc>
        <w:tc>
          <w:tcPr>
            <w:tcW w:w="1828" w:type="dxa"/>
            <w:vAlign w:val="center"/>
          </w:tcPr>
          <w:p w14:paraId="1B4C5D77">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有，但可用覆盖压</w:t>
            </w:r>
            <w:r>
              <w:rPr>
                <w:rFonts w:hint="eastAsia" w:ascii="仿宋" w:hAnsi="仿宋" w:cs="仿宋"/>
                <w:color w:val="000000" w:themeColor="text1"/>
                <w:spacing w:val="6"/>
                <w:sz w:val="24"/>
                <w:szCs w:val="24"/>
                <w14:textFill>
                  <w14:solidFill>
                    <w14:schemeClr w14:val="tx1"/>
                  </w14:solidFill>
                </w14:textFill>
              </w:rPr>
              <w:t>实等措施控制。</w:t>
            </w:r>
          </w:p>
        </w:tc>
        <w:tc>
          <w:tcPr>
            <w:tcW w:w="1705" w:type="dxa"/>
            <w:vAlign w:val="center"/>
          </w:tcPr>
          <w:p w14:paraId="5BAA5FDE">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有轻微气味，污</w:t>
            </w:r>
          </w:p>
          <w:p w14:paraId="322CA5FC">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染指标可能性不</w:t>
            </w:r>
            <w:r>
              <w:rPr>
                <w:rFonts w:hint="eastAsia" w:ascii="仿宋" w:hAnsi="仿宋" w:cs="仿宋"/>
                <w:color w:val="000000" w:themeColor="text1"/>
                <w:spacing w:val="-1"/>
                <w:sz w:val="24"/>
                <w:szCs w:val="24"/>
                <w14:textFill>
                  <w14:solidFill>
                    <w14:schemeClr w14:val="tx1"/>
                  </w14:solidFill>
                </w14:textFill>
              </w:rPr>
              <w:t>大。</w:t>
            </w:r>
          </w:p>
        </w:tc>
        <w:tc>
          <w:tcPr>
            <w:tcW w:w="1946" w:type="dxa"/>
            <w:vAlign w:val="center"/>
          </w:tcPr>
          <w:p w14:paraId="75E8825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可以控制，但二噁</w:t>
            </w:r>
            <w:r>
              <w:rPr>
                <w:rFonts w:hint="eastAsia" w:ascii="仿宋" w:hAnsi="仿宋" w:cs="仿宋"/>
                <w:color w:val="000000" w:themeColor="text1"/>
                <w:spacing w:val="18"/>
                <w:sz w:val="24"/>
                <w:szCs w:val="24"/>
                <w14:textFill>
                  <w14:solidFill>
                    <w14:schemeClr w14:val="tx1"/>
                  </w14:solidFill>
                </w14:textFill>
              </w:rPr>
              <w:t>英（</w:t>
            </w:r>
            <w:r>
              <w:rPr>
                <w:rFonts w:hint="eastAsia" w:ascii="仿宋" w:hAnsi="仿宋" w:cs="仿宋"/>
                <w:color w:val="000000" w:themeColor="text1"/>
                <w:sz w:val="24"/>
                <w:szCs w:val="24"/>
                <w14:textFill>
                  <w14:solidFill>
                    <w14:schemeClr w14:val="tx1"/>
                  </w14:solidFill>
                </w14:textFill>
              </w:rPr>
              <w:t>Dioxin</w:t>
            </w:r>
            <w:r>
              <w:rPr>
                <w:rFonts w:hint="eastAsia" w:ascii="仿宋" w:hAnsi="仿宋" w:cs="仿宋"/>
                <w:color w:val="000000" w:themeColor="text1"/>
                <w:spacing w:val="18"/>
                <w:sz w:val="24"/>
                <w:szCs w:val="24"/>
                <w14:textFill>
                  <w14:solidFill>
                    <w14:schemeClr w14:val="tx1"/>
                  </w14:solidFill>
                </w14:textFill>
              </w:rPr>
              <w:t>）等微</w:t>
            </w:r>
            <w:r>
              <w:rPr>
                <w:rFonts w:hint="eastAsia" w:ascii="仿宋" w:hAnsi="仿宋" w:cs="仿宋"/>
                <w:color w:val="000000" w:themeColor="text1"/>
                <w:spacing w:val="8"/>
                <w:sz w:val="24"/>
                <w:szCs w:val="24"/>
                <w14:textFill>
                  <w14:solidFill>
                    <w14:schemeClr w14:val="tx1"/>
                  </w14:solidFill>
                </w14:textFill>
              </w:rPr>
              <w:t>量剧毒物需采取措</w:t>
            </w:r>
            <w:r>
              <w:rPr>
                <w:rFonts w:hint="eastAsia" w:ascii="仿宋" w:hAnsi="仿宋" w:cs="仿宋"/>
                <w:color w:val="000000" w:themeColor="text1"/>
                <w:spacing w:val="5"/>
                <w:sz w:val="24"/>
                <w:szCs w:val="24"/>
                <w14:textFill>
                  <w14:solidFill>
                    <w14:schemeClr w14:val="tx1"/>
                  </w14:solidFill>
                </w14:textFill>
              </w:rPr>
              <w:t>施控制。</w:t>
            </w:r>
          </w:p>
        </w:tc>
      </w:tr>
      <w:tr w14:paraId="73EC12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246" w:type="dxa"/>
            <w:vAlign w:val="center"/>
          </w:tcPr>
          <w:p w14:paraId="6B1FD74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土壤污染</w:t>
            </w:r>
          </w:p>
        </w:tc>
        <w:tc>
          <w:tcPr>
            <w:tcW w:w="1829" w:type="dxa"/>
            <w:vAlign w:val="center"/>
          </w:tcPr>
          <w:p w14:paraId="3F92CAD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无</w:t>
            </w:r>
          </w:p>
        </w:tc>
        <w:tc>
          <w:tcPr>
            <w:tcW w:w="1828" w:type="dxa"/>
            <w:vAlign w:val="center"/>
          </w:tcPr>
          <w:p w14:paraId="7D7C39F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限于填埋场区。</w:t>
            </w:r>
          </w:p>
        </w:tc>
        <w:tc>
          <w:tcPr>
            <w:tcW w:w="1705" w:type="dxa"/>
            <w:vAlign w:val="center"/>
          </w:tcPr>
          <w:p w14:paraId="21C800B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需控制堆肥制品</w:t>
            </w:r>
            <w:r>
              <w:rPr>
                <w:rFonts w:hint="eastAsia" w:ascii="仿宋" w:hAnsi="仿宋" w:cs="仿宋"/>
                <w:color w:val="000000" w:themeColor="text1"/>
                <w:spacing w:val="4"/>
                <w:sz w:val="24"/>
                <w:szCs w:val="24"/>
                <w14:textFill>
                  <w14:solidFill>
                    <w14:schemeClr w14:val="tx1"/>
                  </w14:solidFill>
                </w14:textFill>
              </w:rPr>
              <w:t>中重金属含量。</w:t>
            </w:r>
          </w:p>
        </w:tc>
        <w:tc>
          <w:tcPr>
            <w:tcW w:w="1946" w:type="dxa"/>
            <w:vAlign w:val="center"/>
          </w:tcPr>
          <w:p w14:paraId="10CF188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无</w:t>
            </w:r>
          </w:p>
        </w:tc>
      </w:tr>
      <w:tr w14:paraId="7DDB21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99" w:hRule="atLeast"/>
        </w:trPr>
        <w:tc>
          <w:tcPr>
            <w:tcW w:w="1246" w:type="dxa"/>
            <w:vAlign w:val="center"/>
          </w:tcPr>
          <w:p w14:paraId="428A2DAA">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主要技术</w:t>
            </w:r>
            <w:r>
              <w:rPr>
                <w:rFonts w:hint="eastAsia" w:ascii="仿宋" w:hAnsi="仿宋" w:cs="仿宋"/>
                <w:color w:val="000000" w:themeColor="text1"/>
                <w:spacing w:val="4"/>
                <w:sz w:val="24"/>
                <w:szCs w:val="24"/>
                <w14:textFill>
                  <w14:solidFill>
                    <w14:schemeClr w14:val="tx1"/>
                  </w14:solidFill>
                </w14:textFill>
              </w:rPr>
              <w:t>风险</w:t>
            </w:r>
          </w:p>
        </w:tc>
        <w:tc>
          <w:tcPr>
            <w:tcW w:w="1829" w:type="dxa"/>
            <w:vAlign w:val="center"/>
          </w:tcPr>
          <w:p w14:paraId="4A06BA89">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因为国内垃圾分</w:t>
            </w:r>
            <w:r>
              <w:rPr>
                <w:rFonts w:hint="eastAsia" w:ascii="仿宋" w:hAnsi="仿宋" w:cs="仿宋"/>
                <w:color w:val="000000" w:themeColor="text1"/>
                <w:spacing w:val="2"/>
                <w:sz w:val="24"/>
                <w:szCs w:val="24"/>
                <w14:textFill>
                  <w14:solidFill>
                    <w14:schemeClr w14:val="tx1"/>
                  </w14:solidFill>
                </w14:textFill>
              </w:rPr>
              <w:t>类收集实施较差，</w:t>
            </w:r>
            <w:r>
              <w:rPr>
                <w:rFonts w:hint="eastAsia" w:ascii="仿宋" w:hAnsi="仿宋" w:cs="仿宋"/>
                <w:color w:val="000000" w:themeColor="text1"/>
                <w:spacing w:val="19"/>
                <w:sz w:val="24"/>
                <w:szCs w:val="24"/>
                <w14:textFill>
                  <w14:solidFill>
                    <w14:schemeClr w14:val="tx1"/>
                  </w14:solidFill>
                </w14:textFill>
              </w:rPr>
              <w:t>因此分选可回收</w:t>
            </w:r>
            <w:r>
              <w:rPr>
                <w:rFonts w:hint="eastAsia" w:ascii="仿宋" w:hAnsi="仿宋" w:cs="仿宋"/>
                <w:color w:val="000000" w:themeColor="text1"/>
                <w:sz w:val="24"/>
                <w:szCs w:val="24"/>
                <w14:textFill>
                  <w14:solidFill>
                    <w14:schemeClr w14:val="tx1"/>
                  </w14:solidFill>
                </w14:textFill>
              </w:rPr>
              <w:t>物质较低，并分选后仍需堆肥、焚烧</w:t>
            </w:r>
            <w:r>
              <w:rPr>
                <w:rFonts w:hint="eastAsia" w:ascii="仿宋" w:hAnsi="仿宋" w:cs="仿宋"/>
                <w:color w:val="000000" w:themeColor="text1"/>
                <w:spacing w:val="6"/>
                <w:sz w:val="24"/>
                <w:szCs w:val="24"/>
                <w14:textFill>
                  <w14:solidFill>
                    <w14:schemeClr w14:val="tx1"/>
                  </w14:solidFill>
                </w14:textFill>
              </w:rPr>
              <w:t>或填埋处理。</w:t>
            </w:r>
          </w:p>
        </w:tc>
        <w:tc>
          <w:tcPr>
            <w:tcW w:w="1828" w:type="dxa"/>
            <w:vAlign w:val="center"/>
          </w:tcPr>
          <w:p w14:paraId="7F2EE332">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沼气聚集引起爆</w:t>
            </w:r>
            <w:r>
              <w:rPr>
                <w:rFonts w:hint="eastAsia" w:ascii="仿宋" w:hAnsi="仿宋" w:cs="仿宋"/>
                <w:color w:val="000000" w:themeColor="text1"/>
                <w:sz w:val="24"/>
                <w:szCs w:val="24"/>
                <w14:textFill>
                  <w14:solidFill>
                    <w14:schemeClr w14:val="tx1"/>
                  </w14:solidFill>
                </w14:textFill>
              </w:rPr>
              <w:t>炸，场底渗漏或渗</w:t>
            </w:r>
            <w:r>
              <w:rPr>
                <w:rFonts w:hint="eastAsia" w:ascii="仿宋" w:hAnsi="仿宋" w:cs="仿宋"/>
                <w:color w:val="000000" w:themeColor="text1"/>
                <w:spacing w:val="4"/>
                <w:sz w:val="24"/>
                <w:szCs w:val="24"/>
                <w14:textFill>
                  <w14:solidFill>
                    <w14:schemeClr w14:val="tx1"/>
                  </w14:solidFill>
                </w14:textFill>
              </w:rPr>
              <w:t>滤水处理不达标。</w:t>
            </w:r>
          </w:p>
        </w:tc>
        <w:tc>
          <w:tcPr>
            <w:tcW w:w="1705" w:type="dxa"/>
            <w:vAlign w:val="center"/>
          </w:tcPr>
          <w:p w14:paraId="44CEF5AB">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因生产成本过高</w:t>
            </w:r>
            <w:r>
              <w:rPr>
                <w:rFonts w:hint="eastAsia" w:ascii="仿宋" w:hAnsi="仿宋" w:cs="仿宋"/>
                <w:color w:val="000000" w:themeColor="text1"/>
                <w:spacing w:val="8"/>
                <w:sz w:val="24"/>
                <w:szCs w:val="24"/>
                <w14:textFill>
                  <w14:solidFill>
                    <w14:schemeClr w14:val="tx1"/>
                  </w14:solidFill>
                </w14:textFill>
              </w:rPr>
              <w:t>或堆肥质量不佳</w:t>
            </w:r>
            <w:r>
              <w:rPr>
                <w:rFonts w:hint="eastAsia" w:ascii="仿宋" w:hAnsi="仿宋" w:cs="仿宋"/>
                <w:color w:val="000000" w:themeColor="text1"/>
                <w:spacing w:val="25"/>
                <w:sz w:val="24"/>
                <w:szCs w:val="24"/>
                <w14:textFill>
                  <w14:solidFill>
                    <w14:schemeClr w14:val="tx1"/>
                  </w14:solidFill>
                </w14:textFill>
              </w:rPr>
              <w:t>而影响产品质</w:t>
            </w:r>
            <w:r>
              <w:rPr>
                <w:rFonts w:hint="eastAsia" w:ascii="仿宋" w:hAnsi="仿宋" w:cs="仿宋"/>
                <w:color w:val="000000" w:themeColor="text1"/>
                <w:sz w:val="24"/>
                <w:szCs w:val="24"/>
                <w14:textFill>
                  <w14:solidFill>
                    <w14:schemeClr w14:val="tx1"/>
                  </w14:solidFill>
                </w14:textFill>
              </w:rPr>
              <w:t>量。</w:t>
            </w:r>
          </w:p>
        </w:tc>
        <w:tc>
          <w:tcPr>
            <w:tcW w:w="1946" w:type="dxa"/>
            <w:vAlign w:val="center"/>
          </w:tcPr>
          <w:p w14:paraId="52B36861">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受垃圾热值影响较</w:t>
            </w:r>
          </w:p>
          <w:p w14:paraId="47B8211D">
            <w:pPr>
              <w:spacing w:line="240" w:lineRule="auto"/>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大，烟气治理不达</w:t>
            </w:r>
            <w:r>
              <w:rPr>
                <w:rFonts w:hint="eastAsia" w:ascii="仿宋" w:hAnsi="仿宋" w:cs="仿宋"/>
                <w:color w:val="000000" w:themeColor="text1"/>
                <w:sz w:val="24"/>
                <w:szCs w:val="24"/>
                <w14:textFill>
                  <w14:solidFill>
                    <w14:schemeClr w14:val="tx1"/>
                  </w14:solidFill>
                </w14:textFill>
              </w:rPr>
              <w:t>标。</w:t>
            </w:r>
          </w:p>
        </w:tc>
      </w:tr>
    </w:tbl>
    <w:p w14:paraId="5A93201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选择生活垃圾焚烧处理方案的原则是：技术成熟，设备可靠，能满足包头的环境卫生事业的发展需要，满足环境保护要求。在选择过程中应着重考虑下列因素的影响：</w:t>
      </w:r>
    </w:p>
    <w:p w14:paraId="59440806">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城市的城镇建设和社会发展对环境的要求；</w:t>
      </w:r>
    </w:p>
    <w:p w14:paraId="21F4A1F4">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城市生活垃圾物理和化学组成及变化趋势；</w:t>
      </w:r>
    </w:p>
    <w:p w14:paraId="40F5C3F7">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垃圾最终消纳场所的位置、地形、地质和水文地质条件；</w:t>
      </w:r>
    </w:p>
    <w:p w14:paraId="2F6BA8A8">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对现有处理设施的合理利用；</w:t>
      </w:r>
    </w:p>
    <w:p w14:paraId="50320B46">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技术与设备的可靠性和适应性；</w:t>
      </w:r>
    </w:p>
    <w:p w14:paraId="2AE758E5">
      <w:pPr>
        <w:numPr>
          <w:ilvl w:val="0"/>
          <w:numId w:val="3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对资源再利用的潜力和程度</w:t>
      </w:r>
      <w:r>
        <w:rPr>
          <w:rFonts w:hint="eastAsia"/>
          <w:color w:val="000000" w:themeColor="text1"/>
          <w14:textFill>
            <w14:solidFill>
              <w14:schemeClr w14:val="tx1"/>
            </w14:solidFill>
          </w14:textFill>
        </w:rPr>
        <w:t>。</w:t>
      </w:r>
    </w:p>
    <w:p w14:paraId="084A023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按照经济效益与环境效益考虑，城市垃圾热值达到一定水平后，以焚烧发电最好，它具有明显“减量、无害、资源化”的优点。</w:t>
      </w:r>
    </w:p>
    <w:p w14:paraId="1A43B43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包头市生活垃圾的热值仍处于逐步升高的阶段，而且随着今后几年的经济发展，以及日后居民垃圾分类的普及，生活垃圾中厨余垃圾逐渐减少，其热值还会逐渐提高。因此，本项目建设的城市生活垃圾处理设施所采用的处理技术应以焚烧技术为主，但应用的焚烧炉需要对处理物料的热值变化范围有一定的适应能力。</w:t>
      </w:r>
    </w:p>
    <w:p w14:paraId="3265CA0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包头市土地资源比较宝贵、可供选择的填埋场资源缺乏，可以考虑综合处理的办法，合理使用有限的垃圾处理场地资源，尽可能以焚烧处理为主要处理手段，并辅之以卫生填埋，再结合其他处理方法，逐步建成一个“源头削减、分类收集、资源回收、综合利用”的生活垃圾处理系统。</w:t>
      </w:r>
    </w:p>
    <w:p w14:paraId="0604F1F3">
      <w:pPr>
        <w:pStyle w:val="8"/>
        <w:outlineLvl w:val="2"/>
        <w:rPr>
          <w:color w:val="000000" w:themeColor="text1"/>
          <w14:textFill>
            <w14:solidFill>
              <w14:schemeClr w14:val="tx1"/>
            </w14:solidFill>
          </w14:textFill>
        </w:rPr>
      </w:pPr>
      <w:bookmarkStart w:id="161" w:name="_Toc16557"/>
      <w:r>
        <w:rPr>
          <w:rFonts w:hint="eastAsia"/>
          <w:color w:val="000000" w:themeColor="text1"/>
          <w14:textFill>
            <w14:solidFill>
              <w14:schemeClr w14:val="tx1"/>
            </w14:solidFill>
          </w14:textFill>
        </w:rPr>
        <w:t>垃圾焚烧炉工艺选择的必要性</w:t>
      </w:r>
      <w:bookmarkEnd w:id="161"/>
    </w:p>
    <w:p w14:paraId="06C2A49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本项目选用机械炉排炉作为本项目的焚烧炉炉型。</w:t>
      </w:r>
    </w:p>
    <w:p w14:paraId="7431CA63">
      <w:pPr>
        <w:numPr>
          <w:ilvl w:val="0"/>
          <w:numId w:val="35"/>
        </w:numPr>
        <w:ind w:left="0" w:firstLine="560" w:firstLineChars="200"/>
        <w:rPr>
          <w:color w:val="000000" w:themeColor="text1"/>
          <w14:textFill>
            <w14:solidFill>
              <w14:schemeClr w14:val="tx1"/>
            </w14:solidFill>
          </w14:textFill>
        </w:rPr>
      </w:pPr>
      <w:bookmarkStart w:id="162" w:name="_Toc14723"/>
      <w:r>
        <w:rPr>
          <w:rFonts w:hint="eastAsia"/>
          <w:color w:val="000000" w:themeColor="text1"/>
          <w14:textFill>
            <w14:solidFill>
              <w14:schemeClr w14:val="tx1"/>
            </w14:solidFill>
          </w14:textFill>
        </w:rPr>
        <w:t>在国家政策支持下已成为主流工艺</w:t>
      </w:r>
      <w:bookmarkEnd w:id="162"/>
    </w:p>
    <w:p w14:paraId="352E306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2000年5月29日建设部、国家环境保护总局、科学技术部于联合发文《城市生活垃圾处理及污染防治技术政策》（建成〔2000〕120号），明确“垃圾焚烧目前宜采用以炉排炉为基础的成熟技术，审慎采用其它炉型的焚烧炉。禁止使用不能达到控制标准的焚烧炉”。此后炉排炉技术逐渐成为主流。2016年全国垃圾焚烧厂中，使用炉排炉技术的焚烧炉占比为78%，2020年占比已经提升至85%以上。</w:t>
      </w:r>
    </w:p>
    <w:p w14:paraId="4802A8D1">
      <w:pPr>
        <w:ind w:firstLine="560" w:firstLineChars="200"/>
        <w:rPr>
          <w:color w:val="000000" w:themeColor="text1"/>
          <w14:textFill>
            <w14:solidFill>
              <w14:schemeClr w14:val="tx1"/>
            </w14:solidFill>
          </w14:textFill>
        </w:rPr>
      </w:pPr>
      <w:bookmarkStart w:id="163" w:name="_Toc25337"/>
      <w:r>
        <w:rPr>
          <w:rFonts w:hint="eastAsia"/>
          <w:color w:val="000000" w:themeColor="text1"/>
          <w14:textFill>
            <w14:solidFill>
              <w14:schemeClr w14:val="tx1"/>
            </w14:solidFill>
          </w14:textFill>
        </w:rPr>
        <w:t>2）工艺比较</w:t>
      </w:r>
      <w:bookmarkEnd w:id="163"/>
    </w:p>
    <w:p w14:paraId="291340E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目前国内外应用较多、技术比较成熟的生活垃圾焚烧炉炉型主要有机械炉排炉、流化床焚烧炉、热解焚烧炉、回转窑焚烧炉等四类。</w:t>
      </w:r>
    </w:p>
    <w:p w14:paraId="62ACC13E">
      <w:pPr>
        <w:numPr>
          <w:ilvl w:val="0"/>
          <w:numId w:val="36"/>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机械炉排炉</w:t>
      </w:r>
    </w:p>
    <w:p w14:paraId="187E48A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机械炉排炉采用层状燃烧技术，具有对垃圾的预处理要求不高，对垃圾热值适应范围广，运行及维护简便等优点。是目前世界最常用、处理量最大的城市生活垃圾焚烧炉。在欧美等先进国家得到广泛使用，其单台最大规模可达1200t/d，技术成熟可靠。垃圾在炉排上通过三个区段：预热干燥段、燃烧段和燃烬段。垃圾在炉排上着火，热量不仅来自上方的辐射和烟气的对流，还来自垃圾层的内部。炉排上已着火的垃圾通过炉排的特殊作用，使垃圾层强烈的翻动和搅动，引起垃圾底部的燃烧。连续的翻动和搅动，也使垃圾层松动，透气性加强，有利于垃圾的燃烧和燃烬。</w:t>
      </w:r>
    </w:p>
    <w:p w14:paraId="3FB531EA">
      <w:pPr>
        <w:numPr>
          <w:ilvl w:val="0"/>
          <w:numId w:val="36"/>
        </w:numPr>
        <w:rPr>
          <w:color w:val="000000" w:themeColor="text1"/>
          <w14:textFill>
            <w14:solidFill>
              <w14:schemeClr w14:val="tx1"/>
            </w14:solidFill>
          </w14:textFill>
        </w:rPr>
      </w:pPr>
      <w:r>
        <w:rPr>
          <w:rFonts w:hint="eastAsia"/>
          <w:color w:val="000000" w:themeColor="text1"/>
          <w14:textFill>
            <w14:solidFill>
              <w14:schemeClr w14:val="tx1"/>
            </w14:solidFill>
          </w14:textFill>
        </w:rPr>
        <w:t>流化床焚烧炉</w:t>
      </w:r>
    </w:p>
    <w:p w14:paraId="2548A74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化床技术在70年前便已被开发，之后在20世纪60年代用来焚烧工业污泥，在70年代用来焚烧生活垃圾，80年代在日本相当的普及，市场占有率达10%以上，但在90年代后期，由于烟气排放标准的提高和自身的不足，在生活垃圾焚烧上的应用有限。在国内，近些年来流化床焚烧炉得到了一定程度的应用，但该炉型多用于日处理垃圾500t以下规模的垃圾处理项目，且存在一定争议，有待进一步完善。</w:t>
      </w:r>
    </w:p>
    <w:p w14:paraId="6F468E1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化床焚烧炉的焚烧机理与燃煤流化床相似，利用床料的大热容量来保证垃圾的着火燃烬，床料一般加热至600℃左右，再投入垃圾，保持床层温度在850℃。流化床焚烧炉可以对任何垃圾进行焚烧处理，燃烧十分彻底。但对垃圾有严格的破碎预处理要求，容易发生故障。另外，国内大部分流化床均需加煤才能焚烧。</w:t>
      </w:r>
    </w:p>
    <w:p w14:paraId="00C5B16C">
      <w:pPr>
        <w:numPr>
          <w:ilvl w:val="0"/>
          <w:numId w:val="36"/>
        </w:numPr>
        <w:rPr>
          <w:color w:val="000000" w:themeColor="text1"/>
          <w14:textFill>
            <w14:solidFill>
              <w14:schemeClr w14:val="tx1"/>
            </w14:solidFill>
          </w14:textFill>
        </w:rPr>
      </w:pPr>
      <w:r>
        <w:rPr>
          <w:rFonts w:hint="eastAsia"/>
          <w:color w:val="000000" w:themeColor="text1"/>
          <w14:textFill>
            <w14:solidFill>
              <w14:schemeClr w14:val="tx1"/>
            </w14:solidFill>
          </w14:textFill>
        </w:rPr>
        <w:t>热解焚烧炉</w:t>
      </w:r>
    </w:p>
    <w:p w14:paraId="3B341E0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热解焚烧炉是指在缺氧或非氧化气氛中以一定的温度(500℃~600℃)分解有机物，有机物将发生热裂解过程，使之变成热分解气体(可燃混合气体)；再将热分解气体引入燃烧室内燃烧，从而分解有机污染物，余热用于发电、供热。热解技术使用范围广，可用来处理多种垃圾。但是由于受到垃圾特性的影响，后续热解气的特性（热值，成分等）也不稳定，所以燃烧控制难，灰渣难以燃烬，且环保不易达标。此技术在加拿大和美国部分小城市得到少量应用。</w:t>
      </w:r>
    </w:p>
    <w:p w14:paraId="5970C94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另外，在欧洲和日本，热解炉多应用旋转窑，流化床等炉型，然后加上燃烧熔融炉，将灰渣完全燃烬且熔融为玻璃质灰渣。此技术得到发达国家的部分应用，但是其要求垃圾热值较高，工厂建设成本较高，且运行成本约为机械炉排的两倍以上。</w:t>
      </w:r>
    </w:p>
    <w:p w14:paraId="56E7CE0A">
      <w:pPr>
        <w:numPr>
          <w:ilvl w:val="0"/>
          <w:numId w:val="36"/>
        </w:numPr>
        <w:rPr>
          <w:color w:val="000000" w:themeColor="text1"/>
          <w14:textFill>
            <w14:solidFill>
              <w14:schemeClr w14:val="tx1"/>
            </w14:solidFill>
          </w14:textFill>
        </w:rPr>
      </w:pPr>
      <w:r>
        <w:rPr>
          <w:rFonts w:hint="eastAsia"/>
          <w:color w:val="000000" w:themeColor="text1"/>
          <w14:textFill>
            <w14:solidFill>
              <w14:schemeClr w14:val="tx1"/>
            </w14:solidFill>
          </w14:textFill>
        </w:rPr>
        <w:t>回转窑焚烧炉</w:t>
      </w:r>
    </w:p>
    <w:p w14:paraId="15D8368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回转窑焚烧炉的燃烧机理与水泥工业的回转窑相类似，主要由一倾斜的钢制圆筒组成，筒体内壁采用耐火材料砌筑，也可采用管式水冷壁，用以保护滚筒。垃圾由入口进入筒体，并随筒体的旋转边翻转边向前运动，垃圾的干燥、着火、燃烧、燃烬过程均在筒体内完成。并可根据筒体转速的改变调节垃圾在窑内的停留时间。回转窑常用于成分复杂、有毒有害的工业废物和医疗垃圾，在生活垃圾焚烧中应用较少。</w:t>
      </w:r>
    </w:p>
    <w:p w14:paraId="22B03A79">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常见生活垃圾焚烧炉型比较</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1736"/>
        <w:gridCol w:w="1665"/>
        <w:gridCol w:w="1738"/>
        <w:gridCol w:w="1594"/>
      </w:tblGrid>
      <w:tr w14:paraId="0893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950" w:type="pct"/>
            <w:shd w:val="clear" w:color="auto" w:fill="BDD6EE" w:themeFill="accent1" w:themeFillTint="66"/>
            <w:vAlign w:val="center"/>
          </w:tcPr>
          <w:p w14:paraId="5DC0099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项目</w:t>
            </w:r>
          </w:p>
        </w:tc>
        <w:tc>
          <w:tcPr>
            <w:tcW w:w="1044" w:type="pct"/>
            <w:shd w:val="clear" w:color="auto" w:fill="BDD6EE" w:themeFill="accent1" w:themeFillTint="66"/>
            <w:vAlign w:val="center"/>
          </w:tcPr>
          <w:p w14:paraId="2B3D240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7"/>
                <w:sz w:val="24"/>
                <w:szCs w:val="24"/>
                <w14:textFill>
                  <w14:solidFill>
                    <w14:schemeClr w14:val="tx1"/>
                  </w14:solidFill>
                </w14:textFill>
              </w:rPr>
              <w:t>机械炉排炉</w:t>
            </w:r>
          </w:p>
        </w:tc>
        <w:tc>
          <w:tcPr>
            <w:tcW w:w="1001" w:type="pct"/>
            <w:shd w:val="clear" w:color="auto" w:fill="BDD6EE" w:themeFill="accent1" w:themeFillTint="66"/>
            <w:vAlign w:val="center"/>
          </w:tcPr>
          <w:p w14:paraId="639BD42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流化床焚烧炉</w:t>
            </w:r>
          </w:p>
        </w:tc>
        <w:tc>
          <w:tcPr>
            <w:tcW w:w="1045" w:type="pct"/>
            <w:shd w:val="clear" w:color="auto" w:fill="BDD6EE" w:themeFill="accent1" w:themeFillTint="66"/>
            <w:vAlign w:val="center"/>
          </w:tcPr>
          <w:p w14:paraId="6C27553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热解焚烧炉</w:t>
            </w:r>
          </w:p>
        </w:tc>
        <w:tc>
          <w:tcPr>
            <w:tcW w:w="958" w:type="pct"/>
            <w:shd w:val="clear" w:color="auto" w:fill="BDD6EE" w:themeFill="accent1" w:themeFillTint="66"/>
            <w:vAlign w:val="center"/>
          </w:tcPr>
          <w:p w14:paraId="3BFD899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回转窑焚烧炉</w:t>
            </w:r>
          </w:p>
        </w:tc>
      </w:tr>
      <w:tr w14:paraId="56DB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9" w:hRule="atLeast"/>
          <w:jc w:val="center"/>
        </w:trPr>
        <w:tc>
          <w:tcPr>
            <w:tcW w:w="950" w:type="pct"/>
            <w:vAlign w:val="center"/>
          </w:tcPr>
          <w:p w14:paraId="2D3EF86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炉床及炉体特点</w:t>
            </w:r>
          </w:p>
        </w:tc>
        <w:tc>
          <w:tcPr>
            <w:tcW w:w="1044" w:type="pct"/>
            <w:vAlign w:val="center"/>
          </w:tcPr>
          <w:p w14:paraId="63CBD95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机械运动炉排，炉排面积较大，炉膛</w:t>
            </w:r>
            <w:r>
              <w:rPr>
                <w:rFonts w:hint="eastAsia" w:ascii="仿宋" w:hAnsi="仿宋" w:cs="仿宋"/>
                <w:color w:val="000000" w:themeColor="text1"/>
                <w:spacing w:val="7"/>
                <w:sz w:val="24"/>
                <w:szCs w:val="24"/>
                <w14:textFill>
                  <w14:solidFill>
                    <w14:schemeClr w14:val="tx1"/>
                  </w14:solidFill>
                </w14:textFill>
              </w:rPr>
              <w:t>体积较大</w:t>
            </w:r>
          </w:p>
        </w:tc>
        <w:tc>
          <w:tcPr>
            <w:tcW w:w="1001" w:type="pct"/>
            <w:vAlign w:val="center"/>
          </w:tcPr>
          <w:p w14:paraId="1E5D9D3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固定式炉排，炉排</w:t>
            </w:r>
            <w:r>
              <w:rPr>
                <w:rFonts w:hint="eastAsia" w:ascii="仿宋" w:hAnsi="仿宋" w:cs="仿宋"/>
                <w:color w:val="000000" w:themeColor="text1"/>
                <w:spacing w:val="11"/>
                <w:sz w:val="24"/>
                <w:szCs w:val="24"/>
                <w14:textFill>
                  <w14:solidFill>
                    <w14:schemeClr w14:val="tx1"/>
                  </w14:solidFill>
                </w14:textFill>
              </w:rPr>
              <w:t>面积和炉膛体积较</w:t>
            </w:r>
            <w:r>
              <w:rPr>
                <w:rFonts w:hint="eastAsia" w:ascii="仿宋" w:hAnsi="仿宋" w:cs="仿宋"/>
                <w:color w:val="000000" w:themeColor="text1"/>
                <w:sz w:val="24"/>
                <w:szCs w:val="24"/>
                <w14:textFill>
                  <w14:solidFill>
                    <w14:schemeClr w14:val="tx1"/>
                  </w14:solidFill>
                </w14:textFill>
              </w:rPr>
              <w:t>小，</w:t>
            </w:r>
          </w:p>
        </w:tc>
        <w:tc>
          <w:tcPr>
            <w:tcW w:w="1045" w:type="pct"/>
            <w:vAlign w:val="center"/>
          </w:tcPr>
          <w:p w14:paraId="08664E0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2"/>
                <w:sz w:val="24"/>
                <w:szCs w:val="24"/>
                <w14:textFill>
                  <w14:solidFill>
                    <w14:schemeClr w14:val="tx1"/>
                  </w14:solidFill>
                </w14:textFill>
              </w:rPr>
              <w:t>多为立式固定</w:t>
            </w:r>
            <w:r>
              <w:rPr>
                <w:rFonts w:hint="eastAsia" w:ascii="仿宋" w:hAnsi="仿宋" w:cs="仿宋"/>
                <w:color w:val="000000" w:themeColor="text1"/>
                <w:spacing w:val="2"/>
                <w:sz w:val="24"/>
                <w:szCs w:val="24"/>
                <w14:textFill>
                  <w14:solidFill>
                    <w14:schemeClr w14:val="tx1"/>
                  </w14:solidFill>
                </w14:textFill>
              </w:rPr>
              <w:t>炉排，分两个燃</w:t>
            </w:r>
            <w:r>
              <w:rPr>
                <w:rFonts w:hint="eastAsia" w:ascii="仿宋" w:hAnsi="仿宋" w:cs="仿宋"/>
                <w:color w:val="000000" w:themeColor="text1"/>
                <w:spacing w:val="5"/>
                <w:sz w:val="24"/>
                <w:szCs w:val="24"/>
                <w14:textFill>
                  <w14:solidFill>
                    <w14:schemeClr w14:val="tx1"/>
                  </w14:solidFill>
                </w14:textFill>
              </w:rPr>
              <w:t>烧室</w:t>
            </w:r>
          </w:p>
        </w:tc>
        <w:tc>
          <w:tcPr>
            <w:tcW w:w="958" w:type="pct"/>
            <w:vAlign w:val="center"/>
          </w:tcPr>
          <w:p w14:paraId="57CC621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无炉排，靠炉体</w:t>
            </w:r>
            <w:r>
              <w:rPr>
                <w:rFonts w:hint="eastAsia" w:ascii="仿宋" w:hAnsi="仿宋" w:cs="仿宋"/>
                <w:color w:val="000000" w:themeColor="text1"/>
                <w:spacing w:val="22"/>
                <w:sz w:val="24"/>
                <w:szCs w:val="24"/>
                <w14:textFill>
                  <w14:solidFill>
                    <w14:schemeClr w14:val="tx1"/>
                  </w14:solidFill>
                </w14:textFill>
              </w:rPr>
              <w:t>的转动带动垃圾</w:t>
            </w:r>
            <w:r>
              <w:rPr>
                <w:rFonts w:hint="eastAsia" w:ascii="仿宋" w:hAnsi="仿宋" w:cs="仿宋"/>
                <w:color w:val="000000" w:themeColor="text1"/>
                <w:spacing w:val="4"/>
                <w:sz w:val="24"/>
                <w:szCs w:val="24"/>
                <w14:textFill>
                  <w14:solidFill>
                    <w14:schemeClr w14:val="tx1"/>
                  </w14:solidFill>
                </w14:textFill>
              </w:rPr>
              <w:t>移动</w:t>
            </w:r>
          </w:p>
        </w:tc>
      </w:tr>
      <w:tr w14:paraId="4FAF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950" w:type="pct"/>
            <w:vAlign w:val="center"/>
          </w:tcPr>
          <w:p w14:paraId="313C5ED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垃圾预处理</w:t>
            </w:r>
          </w:p>
        </w:tc>
        <w:tc>
          <w:tcPr>
            <w:tcW w:w="1044" w:type="pct"/>
            <w:vAlign w:val="center"/>
          </w:tcPr>
          <w:p w14:paraId="740E8F8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不需要</w:t>
            </w:r>
          </w:p>
        </w:tc>
        <w:tc>
          <w:tcPr>
            <w:tcW w:w="1001" w:type="pct"/>
            <w:vAlign w:val="center"/>
          </w:tcPr>
          <w:p w14:paraId="6DA4334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需要</w:t>
            </w:r>
          </w:p>
        </w:tc>
        <w:tc>
          <w:tcPr>
            <w:tcW w:w="1045" w:type="pct"/>
            <w:vAlign w:val="center"/>
          </w:tcPr>
          <w:p w14:paraId="4F5149D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3"/>
                <w:sz w:val="24"/>
                <w:szCs w:val="24"/>
                <w14:textFill>
                  <w14:solidFill>
                    <w14:schemeClr w14:val="tx1"/>
                  </w14:solidFill>
                </w14:textFill>
              </w:rPr>
              <w:t>热值较低时需</w:t>
            </w:r>
            <w:r>
              <w:rPr>
                <w:rFonts w:hint="eastAsia" w:ascii="仿宋" w:hAnsi="仿宋" w:cs="仿宋"/>
                <w:color w:val="000000" w:themeColor="text1"/>
                <w:sz w:val="24"/>
                <w:szCs w:val="24"/>
                <w14:textFill>
                  <w14:solidFill>
                    <w14:schemeClr w14:val="tx1"/>
                  </w14:solidFill>
                </w14:textFill>
              </w:rPr>
              <w:t>要</w:t>
            </w:r>
          </w:p>
        </w:tc>
        <w:tc>
          <w:tcPr>
            <w:tcW w:w="958" w:type="pct"/>
            <w:vAlign w:val="center"/>
          </w:tcPr>
          <w:p w14:paraId="7C89DB5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不需要</w:t>
            </w:r>
          </w:p>
        </w:tc>
      </w:tr>
      <w:tr w14:paraId="705C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950" w:type="pct"/>
            <w:vAlign w:val="center"/>
          </w:tcPr>
          <w:p w14:paraId="27E7FCD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设备占地</w:t>
            </w:r>
          </w:p>
        </w:tc>
        <w:tc>
          <w:tcPr>
            <w:tcW w:w="1044" w:type="pct"/>
            <w:vAlign w:val="center"/>
          </w:tcPr>
          <w:p w14:paraId="09DA825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大</w:t>
            </w:r>
          </w:p>
        </w:tc>
        <w:tc>
          <w:tcPr>
            <w:tcW w:w="1001" w:type="pct"/>
            <w:vAlign w:val="center"/>
          </w:tcPr>
          <w:p w14:paraId="1EC7281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小</w:t>
            </w:r>
          </w:p>
        </w:tc>
        <w:tc>
          <w:tcPr>
            <w:tcW w:w="1045" w:type="pct"/>
            <w:vAlign w:val="center"/>
          </w:tcPr>
          <w:p w14:paraId="59599DB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中</w:t>
            </w:r>
          </w:p>
        </w:tc>
        <w:tc>
          <w:tcPr>
            <w:tcW w:w="958" w:type="pct"/>
            <w:vAlign w:val="center"/>
          </w:tcPr>
          <w:p w14:paraId="5E0491D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中</w:t>
            </w:r>
          </w:p>
        </w:tc>
      </w:tr>
      <w:tr w14:paraId="14C5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950" w:type="pct"/>
            <w:vAlign w:val="center"/>
          </w:tcPr>
          <w:p w14:paraId="2233AD2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灰渣热灼减率</w:t>
            </w:r>
          </w:p>
        </w:tc>
        <w:tc>
          <w:tcPr>
            <w:tcW w:w="1044" w:type="pct"/>
            <w:vAlign w:val="center"/>
          </w:tcPr>
          <w:p w14:paraId="33870C5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易达标</w:t>
            </w:r>
          </w:p>
        </w:tc>
        <w:tc>
          <w:tcPr>
            <w:tcW w:w="1001" w:type="pct"/>
            <w:vAlign w:val="center"/>
          </w:tcPr>
          <w:p w14:paraId="5EF0FE2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原生垃圾在连续助</w:t>
            </w:r>
            <w:r>
              <w:rPr>
                <w:rFonts w:hint="eastAsia" w:ascii="仿宋" w:hAnsi="仿宋" w:cs="仿宋"/>
                <w:color w:val="000000" w:themeColor="text1"/>
                <w:spacing w:val="7"/>
                <w:sz w:val="24"/>
                <w:szCs w:val="24"/>
                <w14:textFill>
                  <w14:solidFill>
                    <w14:schemeClr w14:val="tx1"/>
                  </w14:solidFill>
                </w14:textFill>
              </w:rPr>
              <w:t>燃下可达标</w:t>
            </w:r>
          </w:p>
        </w:tc>
        <w:tc>
          <w:tcPr>
            <w:tcW w:w="1045" w:type="pct"/>
            <w:vAlign w:val="center"/>
          </w:tcPr>
          <w:p w14:paraId="5E541AB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3"/>
                <w:sz w:val="24"/>
                <w:szCs w:val="24"/>
                <w14:textFill>
                  <w14:solidFill>
                    <w14:schemeClr w14:val="tx1"/>
                  </w14:solidFill>
                </w14:textFill>
              </w:rPr>
              <w:t>原生垃圾不易</w:t>
            </w:r>
            <w:r>
              <w:rPr>
                <w:rFonts w:hint="eastAsia" w:ascii="仿宋" w:hAnsi="仿宋" w:cs="仿宋"/>
                <w:color w:val="000000" w:themeColor="text1"/>
                <w:spacing w:val="5"/>
                <w:sz w:val="24"/>
                <w:szCs w:val="24"/>
                <w14:textFill>
                  <w14:solidFill>
                    <w14:schemeClr w14:val="tx1"/>
                  </w14:solidFill>
                </w14:textFill>
              </w:rPr>
              <w:t>达标</w:t>
            </w:r>
          </w:p>
        </w:tc>
        <w:tc>
          <w:tcPr>
            <w:tcW w:w="958" w:type="pct"/>
            <w:vAlign w:val="center"/>
          </w:tcPr>
          <w:p w14:paraId="5B92409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1"/>
                <w:sz w:val="24"/>
                <w:szCs w:val="24"/>
                <w14:textFill>
                  <w14:solidFill>
                    <w14:schemeClr w14:val="tx1"/>
                  </w14:solidFill>
                </w14:textFill>
              </w:rPr>
              <w:t>原生垃圾不易达</w:t>
            </w:r>
            <w:r>
              <w:rPr>
                <w:rFonts w:hint="eastAsia" w:ascii="仿宋" w:hAnsi="仿宋" w:cs="仿宋"/>
                <w:color w:val="000000" w:themeColor="text1"/>
                <w:sz w:val="24"/>
                <w:szCs w:val="24"/>
                <w14:textFill>
                  <w14:solidFill>
                    <w14:schemeClr w14:val="tx1"/>
                  </w14:solidFill>
                </w14:textFill>
              </w:rPr>
              <w:t>标</w:t>
            </w:r>
          </w:p>
        </w:tc>
      </w:tr>
      <w:tr w14:paraId="7B79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950" w:type="pct"/>
            <w:vAlign w:val="center"/>
          </w:tcPr>
          <w:p w14:paraId="7DD3365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垃圾炉内停留时</w:t>
            </w:r>
            <w:r>
              <w:rPr>
                <w:rFonts w:hint="eastAsia" w:ascii="仿宋" w:hAnsi="仿宋" w:cs="仿宋"/>
                <w:color w:val="000000" w:themeColor="text1"/>
                <w:sz w:val="24"/>
                <w:szCs w:val="24"/>
                <w14:textFill>
                  <w14:solidFill>
                    <w14:schemeClr w14:val="tx1"/>
                  </w14:solidFill>
                </w14:textFill>
              </w:rPr>
              <w:t>间</w:t>
            </w:r>
          </w:p>
        </w:tc>
        <w:tc>
          <w:tcPr>
            <w:tcW w:w="1044" w:type="pct"/>
            <w:vAlign w:val="center"/>
          </w:tcPr>
          <w:p w14:paraId="2AD9C60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较长</w:t>
            </w:r>
          </w:p>
        </w:tc>
        <w:tc>
          <w:tcPr>
            <w:tcW w:w="1001" w:type="pct"/>
            <w:vAlign w:val="center"/>
          </w:tcPr>
          <w:p w14:paraId="7F8F13E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较短</w:t>
            </w:r>
          </w:p>
        </w:tc>
        <w:tc>
          <w:tcPr>
            <w:tcW w:w="1045" w:type="pct"/>
            <w:vAlign w:val="center"/>
          </w:tcPr>
          <w:p w14:paraId="2EFC179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最长</w:t>
            </w:r>
          </w:p>
        </w:tc>
        <w:tc>
          <w:tcPr>
            <w:tcW w:w="958" w:type="pct"/>
            <w:vAlign w:val="center"/>
          </w:tcPr>
          <w:p w14:paraId="18226B4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长</w:t>
            </w:r>
          </w:p>
        </w:tc>
      </w:tr>
      <w:tr w14:paraId="5714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950" w:type="pct"/>
            <w:vAlign w:val="center"/>
          </w:tcPr>
          <w:p w14:paraId="79F95D6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过量空气系数</w:t>
            </w:r>
          </w:p>
        </w:tc>
        <w:tc>
          <w:tcPr>
            <w:tcW w:w="1044" w:type="pct"/>
            <w:vAlign w:val="center"/>
          </w:tcPr>
          <w:p w14:paraId="6E80CCD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大</w:t>
            </w:r>
          </w:p>
        </w:tc>
        <w:tc>
          <w:tcPr>
            <w:tcW w:w="1001" w:type="pct"/>
            <w:vAlign w:val="center"/>
          </w:tcPr>
          <w:p w14:paraId="5E40777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中</w:t>
            </w:r>
          </w:p>
        </w:tc>
        <w:tc>
          <w:tcPr>
            <w:tcW w:w="1045" w:type="pct"/>
            <w:vAlign w:val="center"/>
          </w:tcPr>
          <w:p w14:paraId="6A3475E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小</w:t>
            </w:r>
          </w:p>
        </w:tc>
        <w:tc>
          <w:tcPr>
            <w:tcW w:w="958" w:type="pct"/>
            <w:vAlign w:val="center"/>
          </w:tcPr>
          <w:p w14:paraId="799B54E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大</w:t>
            </w:r>
          </w:p>
        </w:tc>
      </w:tr>
      <w:tr w14:paraId="71FB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950" w:type="pct"/>
            <w:vAlign w:val="center"/>
          </w:tcPr>
          <w:p w14:paraId="4725786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单炉最大处理量</w:t>
            </w:r>
          </w:p>
        </w:tc>
        <w:tc>
          <w:tcPr>
            <w:tcW w:w="1044" w:type="pct"/>
            <w:vAlign w:val="center"/>
          </w:tcPr>
          <w:p w14:paraId="03885BD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1200t/d</w:t>
            </w:r>
          </w:p>
        </w:tc>
        <w:tc>
          <w:tcPr>
            <w:tcW w:w="1001" w:type="pct"/>
            <w:vAlign w:val="center"/>
          </w:tcPr>
          <w:p w14:paraId="2136F8F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500t/d</w:t>
            </w:r>
          </w:p>
        </w:tc>
        <w:tc>
          <w:tcPr>
            <w:tcW w:w="1045" w:type="pct"/>
            <w:vAlign w:val="center"/>
          </w:tcPr>
          <w:p w14:paraId="54FA746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200t/d</w:t>
            </w:r>
          </w:p>
        </w:tc>
        <w:tc>
          <w:tcPr>
            <w:tcW w:w="958" w:type="pct"/>
            <w:vAlign w:val="center"/>
          </w:tcPr>
          <w:p w14:paraId="275138C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500t/d</w:t>
            </w:r>
          </w:p>
        </w:tc>
      </w:tr>
      <w:tr w14:paraId="792F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950" w:type="pct"/>
            <w:vAlign w:val="center"/>
          </w:tcPr>
          <w:p w14:paraId="55ED7EB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垃圾燃烧空气供</w:t>
            </w:r>
            <w:r>
              <w:rPr>
                <w:rFonts w:hint="eastAsia" w:ascii="仿宋" w:hAnsi="仿宋" w:cs="仿宋"/>
                <w:color w:val="000000" w:themeColor="text1"/>
                <w:sz w:val="24"/>
                <w:szCs w:val="24"/>
                <w14:textFill>
                  <w14:solidFill>
                    <w14:schemeClr w14:val="tx1"/>
                  </w14:solidFill>
                </w14:textFill>
              </w:rPr>
              <w:t>给</w:t>
            </w:r>
          </w:p>
        </w:tc>
        <w:tc>
          <w:tcPr>
            <w:tcW w:w="1044" w:type="pct"/>
            <w:vAlign w:val="center"/>
          </w:tcPr>
          <w:p w14:paraId="1323D4A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易根据工况调节</w:t>
            </w:r>
          </w:p>
        </w:tc>
        <w:tc>
          <w:tcPr>
            <w:tcW w:w="1001" w:type="pct"/>
            <w:vAlign w:val="center"/>
          </w:tcPr>
          <w:p w14:paraId="60A2DDA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较易调节</w:t>
            </w:r>
          </w:p>
        </w:tc>
        <w:tc>
          <w:tcPr>
            <w:tcW w:w="1045" w:type="pct"/>
            <w:vAlign w:val="center"/>
          </w:tcPr>
          <w:p w14:paraId="631DD2E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不易调节</w:t>
            </w:r>
          </w:p>
        </w:tc>
        <w:tc>
          <w:tcPr>
            <w:tcW w:w="958" w:type="pct"/>
            <w:vAlign w:val="center"/>
          </w:tcPr>
          <w:p w14:paraId="0A30476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不易调节</w:t>
            </w:r>
          </w:p>
        </w:tc>
      </w:tr>
      <w:tr w14:paraId="34BA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950" w:type="pct"/>
            <w:vAlign w:val="center"/>
          </w:tcPr>
          <w:p w14:paraId="3FBD70BE">
            <w:pPr>
              <w:spacing w:line="240" w:lineRule="auto"/>
              <w:jc w:val="center"/>
              <w:rPr>
                <w:rFonts w:hint="eastAsia" w:ascii="仿宋" w:hAnsi="仿宋" w:cs="仿宋"/>
                <w:color w:val="000000" w:themeColor="text1"/>
                <w:sz w:val="24"/>
                <w:szCs w:val="24"/>
                <w14:textFill>
                  <w14:solidFill>
                    <w14:schemeClr w14:val="tx1"/>
                  </w14:solidFill>
                </w14:textFill>
              </w:rPr>
            </w:pPr>
          </w:p>
          <w:p w14:paraId="619AF94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对垃圾含水量的</w:t>
            </w:r>
            <w:r>
              <w:rPr>
                <w:rFonts w:hint="eastAsia" w:ascii="仿宋" w:hAnsi="仿宋" w:cs="仿宋"/>
                <w:color w:val="000000" w:themeColor="text1"/>
                <w:spacing w:val="7"/>
                <w:sz w:val="24"/>
                <w:szCs w:val="24"/>
                <w14:textFill>
                  <w14:solidFill>
                    <w14:schemeClr w14:val="tx1"/>
                  </w14:solidFill>
                </w14:textFill>
              </w:rPr>
              <w:t>适应性</w:t>
            </w:r>
          </w:p>
        </w:tc>
        <w:tc>
          <w:tcPr>
            <w:tcW w:w="1044" w:type="pct"/>
            <w:vAlign w:val="center"/>
          </w:tcPr>
          <w:p w14:paraId="1159BA8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6"/>
                <w:sz w:val="24"/>
                <w:szCs w:val="24"/>
                <w14:textFill>
                  <w14:solidFill>
                    <w14:schemeClr w14:val="tx1"/>
                  </w14:solidFill>
                </w14:textFill>
              </w:rPr>
              <w:t>可通过调整干燥段适应不同湿度</w:t>
            </w:r>
            <w:r>
              <w:rPr>
                <w:rFonts w:hint="eastAsia" w:ascii="仿宋" w:hAnsi="仿宋" w:cs="仿宋"/>
                <w:color w:val="000000" w:themeColor="text1"/>
                <w:spacing w:val="4"/>
                <w:sz w:val="24"/>
                <w:szCs w:val="24"/>
                <w14:textFill>
                  <w14:solidFill>
                    <w14:schemeClr w14:val="tx1"/>
                  </w14:solidFill>
                </w14:textFill>
              </w:rPr>
              <w:t>垃圾</w:t>
            </w:r>
          </w:p>
        </w:tc>
        <w:tc>
          <w:tcPr>
            <w:tcW w:w="1001" w:type="pct"/>
            <w:vAlign w:val="center"/>
          </w:tcPr>
          <w:p w14:paraId="3A550364">
            <w:pPr>
              <w:spacing w:line="240" w:lineRule="auto"/>
              <w:jc w:val="center"/>
              <w:rPr>
                <w:rFonts w:hint="eastAsia" w:ascii="仿宋" w:hAnsi="仿宋" w:cs="仿宋"/>
                <w:color w:val="000000" w:themeColor="text1"/>
                <w:sz w:val="24"/>
                <w:szCs w:val="24"/>
                <w14:textFill>
                  <w14:solidFill>
                    <w14:schemeClr w14:val="tx1"/>
                  </w14:solidFill>
                </w14:textFill>
              </w:rPr>
            </w:pPr>
          </w:p>
          <w:p w14:paraId="6A6FD7F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1"/>
                <w:sz w:val="24"/>
                <w:szCs w:val="24"/>
                <w14:textFill>
                  <w14:solidFill>
                    <w14:schemeClr w14:val="tx1"/>
                  </w14:solidFill>
                </w14:textFill>
              </w:rPr>
              <w:t>炉温易随垃圾含水</w:t>
            </w:r>
            <w:r>
              <w:rPr>
                <w:rFonts w:hint="eastAsia" w:ascii="仿宋" w:hAnsi="仿宋" w:cs="仿宋"/>
                <w:color w:val="000000" w:themeColor="text1"/>
                <w:spacing w:val="8"/>
                <w:sz w:val="24"/>
                <w:szCs w:val="24"/>
                <w14:textFill>
                  <w14:solidFill>
                    <w14:schemeClr w14:val="tx1"/>
                  </w14:solidFill>
                </w14:textFill>
              </w:rPr>
              <w:t>量的变化而波动</w:t>
            </w:r>
          </w:p>
        </w:tc>
        <w:tc>
          <w:tcPr>
            <w:tcW w:w="1045" w:type="pct"/>
            <w:vAlign w:val="center"/>
          </w:tcPr>
          <w:p w14:paraId="5FBCE0E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3"/>
                <w:sz w:val="24"/>
                <w:szCs w:val="24"/>
                <w14:textFill>
                  <w14:solidFill>
                    <w14:schemeClr w14:val="tx1"/>
                  </w14:solidFill>
                </w14:textFill>
              </w:rPr>
              <w:t>可通过调节垃圾在炉内的停留时间来适应</w:t>
            </w:r>
            <w:r>
              <w:rPr>
                <w:rFonts w:hint="eastAsia" w:ascii="仿宋" w:hAnsi="仿宋" w:cs="仿宋"/>
                <w:color w:val="000000" w:themeColor="text1"/>
                <w:spacing w:val="7"/>
                <w:sz w:val="24"/>
                <w:szCs w:val="24"/>
                <w14:textFill>
                  <w14:solidFill>
                    <w14:schemeClr w14:val="tx1"/>
                  </w14:solidFill>
                </w14:textFill>
              </w:rPr>
              <w:t>垃圾的湿度</w:t>
            </w:r>
          </w:p>
        </w:tc>
        <w:tc>
          <w:tcPr>
            <w:tcW w:w="958" w:type="pct"/>
            <w:vAlign w:val="center"/>
          </w:tcPr>
          <w:p w14:paraId="6C0C739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2"/>
                <w:sz w:val="24"/>
                <w:szCs w:val="24"/>
                <w14:textFill>
                  <w14:solidFill>
                    <w14:schemeClr w14:val="tx1"/>
                  </w14:solidFill>
                </w14:textFill>
              </w:rPr>
              <w:t>可通过调节滚筒转速来适应垃圾</w:t>
            </w:r>
            <w:r>
              <w:rPr>
                <w:rFonts w:hint="eastAsia" w:ascii="仿宋" w:hAnsi="仿宋" w:cs="仿宋"/>
                <w:color w:val="000000" w:themeColor="text1"/>
                <w:spacing w:val="7"/>
                <w:sz w:val="24"/>
                <w:szCs w:val="24"/>
                <w14:textFill>
                  <w14:solidFill>
                    <w14:schemeClr w14:val="tx1"/>
                  </w14:solidFill>
                </w14:textFill>
              </w:rPr>
              <w:t>的湿度</w:t>
            </w:r>
          </w:p>
        </w:tc>
      </w:tr>
      <w:tr w14:paraId="7684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7" w:hRule="atLeast"/>
          <w:jc w:val="center"/>
        </w:trPr>
        <w:tc>
          <w:tcPr>
            <w:tcW w:w="950" w:type="pct"/>
            <w:vAlign w:val="center"/>
          </w:tcPr>
          <w:p w14:paraId="7D332673">
            <w:pPr>
              <w:spacing w:line="240" w:lineRule="auto"/>
              <w:jc w:val="center"/>
              <w:rPr>
                <w:rFonts w:hint="eastAsia" w:ascii="仿宋" w:hAnsi="仿宋" w:cs="仿宋"/>
                <w:color w:val="000000" w:themeColor="text1"/>
                <w:sz w:val="24"/>
                <w:szCs w:val="24"/>
                <w14:textFill>
                  <w14:solidFill>
                    <w14:schemeClr w14:val="tx1"/>
                  </w14:solidFill>
                </w14:textFill>
              </w:rPr>
            </w:pPr>
          </w:p>
          <w:p w14:paraId="2E57032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对垃圾不均匀性</w:t>
            </w:r>
            <w:r>
              <w:rPr>
                <w:rFonts w:hint="eastAsia" w:ascii="仿宋" w:hAnsi="仿宋" w:cs="仿宋"/>
                <w:color w:val="000000" w:themeColor="text1"/>
                <w:spacing w:val="3"/>
                <w:sz w:val="24"/>
                <w:szCs w:val="24"/>
                <w14:textFill>
                  <w14:solidFill>
                    <w14:schemeClr w14:val="tx1"/>
                  </w14:solidFill>
                </w14:textFill>
              </w:rPr>
              <w:t>的适应性</w:t>
            </w:r>
          </w:p>
        </w:tc>
        <w:tc>
          <w:tcPr>
            <w:tcW w:w="1044" w:type="pct"/>
            <w:vAlign w:val="center"/>
          </w:tcPr>
          <w:p w14:paraId="5B211F9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6"/>
                <w:sz w:val="24"/>
                <w:szCs w:val="24"/>
                <w14:textFill>
                  <w14:solidFill>
                    <w14:schemeClr w14:val="tx1"/>
                  </w14:solidFill>
                </w14:textFill>
              </w:rPr>
              <w:t>可通过炉排拨动</w:t>
            </w:r>
            <w:r>
              <w:rPr>
                <w:rFonts w:hint="eastAsia" w:ascii="仿宋" w:hAnsi="仿宋" w:cs="仿宋"/>
                <w:color w:val="000000" w:themeColor="text1"/>
                <w:spacing w:val="-1"/>
                <w:sz w:val="24"/>
                <w:szCs w:val="24"/>
                <w14:textFill>
                  <w14:solidFill>
                    <w14:schemeClr w14:val="tx1"/>
                  </w14:solidFill>
                </w14:textFill>
              </w:rPr>
              <w:t>垃圾反转，使其均</w:t>
            </w:r>
            <w:r>
              <w:rPr>
                <w:rFonts w:hint="eastAsia" w:ascii="仿宋" w:hAnsi="仿宋" w:cs="仿宋"/>
                <w:color w:val="000000" w:themeColor="text1"/>
                <w:spacing w:val="4"/>
                <w:sz w:val="24"/>
                <w:szCs w:val="24"/>
                <w14:textFill>
                  <w14:solidFill>
                    <w14:schemeClr w14:val="tx1"/>
                  </w14:solidFill>
                </w14:textFill>
              </w:rPr>
              <w:t>匀化</w:t>
            </w:r>
          </w:p>
        </w:tc>
        <w:tc>
          <w:tcPr>
            <w:tcW w:w="1001" w:type="pct"/>
            <w:vAlign w:val="center"/>
          </w:tcPr>
          <w:p w14:paraId="20C70DE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1"/>
                <w:sz w:val="24"/>
                <w:szCs w:val="24"/>
                <w14:textFill>
                  <w14:solidFill>
                    <w14:schemeClr w14:val="tx1"/>
                  </w14:solidFill>
                </w14:textFill>
              </w:rPr>
              <w:t>较重垃圾迅速到达底部，不易燃烧完</w:t>
            </w:r>
            <w:r>
              <w:rPr>
                <w:rFonts w:hint="eastAsia" w:ascii="仿宋" w:hAnsi="仿宋" w:cs="仿宋"/>
                <w:color w:val="000000" w:themeColor="text1"/>
                <w:spacing w:val="2"/>
                <w:sz w:val="24"/>
                <w:szCs w:val="24"/>
                <w14:textFill>
                  <w14:solidFill>
                    <w14:schemeClr w14:val="tx1"/>
                  </w14:solidFill>
                </w14:textFill>
              </w:rPr>
              <w:t>全</w:t>
            </w:r>
          </w:p>
        </w:tc>
        <w:tc>
          <w:tcPr>
            <w:tcW w:w="1045" w:type="pct"/>
            <w:vAlign w:val="center"/>
          </w:tcPr>
          <w:p w14:paraId="0F6D030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3"/>
                <w:sz w:val="24"/>
                <w:szCs w:val="24"/>
                <w14:textFill>
                  <w14:solidFill>
                    <w14:schemeClr w14:val="tx1"/>
                  </w14:solidFill>
                </w14:textFill>
              </w:rPr>
              <w:t>难以实现炉内</w:t>
            </w:r>
            <w:r>
              <w:rPr>
                <w:rFonts w:hint="eastAsia" w:ascii="仿宋" w:hAnsi="仿宋" w:cs="仿宋"/>
                <w:color w:val="000000" w:themeColor="text1"/>
                <w:spacing w:val="1"/>
                <w:sz w:val="24"/>
                <w:szCs w:val="24"/>
                <w14:textFill>
                  <w14:solidFill>
                    <w14:schemeClr w14:val="tx1"/>
                  </w14:solidFill>
                </w14:textFill>
              </w:rPr>
              <w:t>垃圾的翻动，因</w:t>
            </w:r>
            <w:r>
              <w:rPr>
                <w:rFonts w:hint="eastAsia" w:ascii="仿宋" w:hAnsi="仿宋" w:cs="仿宋"/>
                <w:color w:val="000000" w:themeColor="text1"/>
                <w:spacing w:val="33"/>
                <w:sz w:val="24"/>
                <w:szCs w:val="24"/>
                <w14:textFill>
                  <w14:solidFill>
                    <w14:schemeClr w14:val="tx1"/>
                  </w14:solidFill>
                </w14:textFill>
              </w:rPr>
              <w:t>此大块垃圾难</w:t>
            </w:r>
            <w:r>
              <w:rPr>
                <w:rFonts w:hint="eastAsia" w:ascii="仿宋" w:hAnsi="仿宋" w:cs="仿宋"/>
                <w:color w:val="000000" w:themeColor="text1"/>
                <w:spacing w:val="7"/>
                <w:sz w:val="24"/>
                <w:szCs w:val="24"/>
                <w14:textFill>
                  <w14:solidFill>
                    <w14:schemeClr w14:val="tx1"/>
                  </w14:solidFill>
                </w14:textFill>
              </w:rPr>
              <w:t>于燃烬</w:t>
            </w:r>
          </w:p>
        </w:tc>
        <w:tc>
          <w:tcPr>
            <w:tcW w:w="958" w:type="pct"/>
            <w:vAlign w:val="center"/>
          </w:tcPr>
          <w:p w14:paraId="641AE30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1"/>
                <w:sz w:val="24"/>
                <w:szCs w:val="24"/>
                <w14:textFill>
                  <w14:solidFill>
                    <w14:schemeClr w14:val="tx1"/>
                  </w14:solidFill>
                </w14:textFill>
              </w:rPr>
              <w:t>空气供应不易分</w:t>
            </w:r>
            <w:r>
              <w:rPr>
                <w:rFonts w:hint="eastAsia" w:ascii="仿宋" w:hAnsi="仿宋" w:cs="仿宋"/>
                <w:color w:val="000000" w:themeColor="text1"/>
                <w:spacing w:val="9"/>
                <w:sz w:val="24"/>
                <w:szCs w:val="24"/>
                <w14:textFill>
                  <w14:solidFill>
                    <w14:schemeClr w14:val="tx1"/>
                  </w14:solidFill>
                </w14:textFill>
              </w:rPr>
              <w:t>段调节，因此大</w:t>
            </w:r>
            <w:r>
              <w:rPr>
                <w:rFonts w:hint="eastAsia" w:ascii="仿宋" w:hAnsi="仿宋" w:cs="仿宋"/>
                <w:color w:val="000000" w:themeColor="text1"/>
                <w:spacing w:val="8"/>
                <w:sz w:val="24"/>
                <w:szCs w:val="24"/>
                <w14:textFill>
                  <w14:solidFill>
                    <w14:schemeClr w14:val="tx1"/>
                  </w14:solidFill>
                </w14:textFill>
              </w:rPr>
              <w:t>块垃圾不易燃烬</w:t>
            </w:r>
          </w:p>
        </w:tc>
      </w:tr>
      <w:tr w14:paraId="3432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950" w:type="pct"/>
            <w:vAlign w:val="center"/>
          </w:tcPr>
          <w:p w14:paraId="5D75A3B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烟气中含尘量</w:t>
            </w:r>
          </w:p>
        </w:tc>
        <w:tc>
          <w:tcPr>
            <w:tcW w:w="1044" w:type="pct"/>
            <w:vAlign w:val="center"/>
          </w:tcPr>
          <w:p w14:paraId="0515FC2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较低</w:t>
            </w:r>
          </w:p>
        </w:tc>
        <w:tc>
          <w:tcPr>
            <w:tcW w:w="1001" w:type="pct"/>
            <w:vAlign w:val="center"/>
          </w:tcPr>
          <w:p w14:paraId="3776E36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高</w:t>
            </w:r>
          </w:p>
        </w:tc>
        <w:tc>
          <w:tcPr>
            <w:tcW w:w="1045" w:type="pct"/>
            <w:vAlign w:val="center"/>
          </w:tcPr>
          <w:p w14:paraId="66FF60C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较低</w:t>
            </w:r>
          </w:p>
        </w:tc>
        <w:tc>
          <w:tcPr>
            <w:tcW w:w="958" w:type="pct"/>
            <w:vAlign w:val="center"/>
          </w:tcPr>
          <w:p w14:paraId="6E2FA0A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高</w:t>
            </w:r>
          </w:p>
        </w:tc>
      </w:tr>
      <w:tr w14:paraId="1D1C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06479F4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燃烧介质</w:t>
            </w:r>
          </w:p>
        </w:tc>
        <w:tc>
          <w:tcPr>
            <w:tcW w:w="1044" w:type="pct"/>
            <w:vAlign w:val="center"/>
          </w:tcPr>
          <w:p w14:paraId="04B6BAD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不用载体</w:t>
            </w:r>
          </w:p>
        </w:tc>
        <w:tc>
          <w:tcPr>
            <w:tcW w:w="1001" w:type="pct"/>
            <w:vAlign w:val="center"/>
          </w:tcPr>
          <w:p w14:paraId="712AA59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需石英砂</w:t>
            </w:r>
          </w:p>
        </w:tc>
        <w:tc>
          <w:tcPr>
            <w:tcW w:w="1045" w:type="pct"/>
            <w:vAlign w:val="center"/>
          </w:tcPr>
          <w:p w14:paraId="0C1F89B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不用载体</w:t>
            </w:r>
          </w:p>
        </w:tc>
        <w:tc>
          <w:tcPr>
            <w:tcW w:w="958" w:type="pct"/>
            <w:vAlign w:val="center"/>
          </w:tcPr>
          <w:p w14:paraId="30F4097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不用载体</w:t>
            </w:r>
          </w:p>
        </w:tc>
      </w:tr>
      <w:tr w14:paraId="3917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652D0762">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8"/>
                <w:sz w:val="24"/>
                <w:szCs w:val="24"/>
                <w14:textFill>
                  <w14:solidFill>
                    <w14:schemeClr w14:val="tx1"/>
                  </w14:solidFill>
                </w14:textFill>
              </w:rPr>
              <w:t>燃烧工况控制</w:t>
            </w:r>
          </w:p>
        </w:tc>
        <w:tc>
          <w:tcPr>
            <w:tcW w:w="1044" w:type="pct"/>
            <w:vAlign w:val="center"/>
          </w:tcPr>
          <w:p w14:paraId="0B8133FD">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较易</w:t>
            </w:r>
          </w:p>
        </w:tc>
        <w:tc>
          <w:tcPr>
            <w:tcW w:w="1001" w:type="pct"/>
            <w:vAlign w:val="center"/>
          </w:tcPr>
          <w:p w14:paraId="76B42E46">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不易</w:t>
            </w:r>
          </w:p>
        </w:tc>
        <w:tc>
          <w:tcPr>
            <w:tcW w:w="1045" w:type="pct"/>
            <w:vAlign w:val="center"/>
          </w:tcPr>
          <w:p w14:paraId="79602A90">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不易</w:t>
            </w:r>
          </w:p>
        </w:tc>
        <w:tc>
          <w:tcPr>
            <w:tcW w:w="958" w:type="pct"/>
            <w:vAlign w:val="center"/>
          </w:tcPr>
          <w:p w14:paraId="794DCF52">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不易</w:t>
            </w:r>
          </w:p>
        </w:tc>
      </w:tr>
      <w:tr w14:paraId="561F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516898F5">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运行费用</w:t>
            </w:r>
          </w:p>
        </w:tc>
        <w:tc>
          <w:tcPr>
            <w:tcW w:w="1044" w:type="pct"/>
            <w:vAlign w:val="center"/>
          </w:tcPr>
          <w:p w14:paraId="34C0C27A">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低</w:t>
            </w:r>
          </w:p>
        </w:tc>
        <w:tc>
          <w:tcPr>
            <w:tcW w:w="1001" w:type="pct"/>
            <w:vAlign w:val="center"/>
          </w:tcPr>
          <w:p w14:paraId="61F18322">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低</w:t>
            </w:r>
          </w:p>
        </w:tc>
        <w:tc>
          <w:tcPr>
            <w:tcW w:w="1045" w:type="pct"/>
            <w:vAlign w:val="center"/>
          </w:tcPr>
          <w:p w14:paraId="09408DC4">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较高</w:t>
            </w:r>
          </w:p>
        </w:tc>
        <w:tc>
          <w:tcPr>
            <w:tcW w:w="958" w:type="pct"/>
            <w:vAlign w:val="center"/>
          </w:tcPr>
          <w:p w14:paraId="0C8B4696">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较高</w:t>
            </w:r>
          </w:p>
        </w:tc>
      </w:tr>
      <w:tr w14:paraId="228E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18304DEE">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烟气处理</w:t>
            </w:r>
          </w:p>
        </w:tc>
        <w:tc>
          <w:tcPr>
            <w:tcW w:w="1044" w:type="pct"/>
            <w:vAlign w:val="center"/>
          </w:tcPr>
          <w:p w14:paraId="102A5837">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较易</w:t>
            </w:r>
          </w:p>
        </w:tc>
        <w:tc>
          <w:tcPr>
            <w:tcW w:w="1001" w:type="pct"/>
            <w:vAlign w:val="center"/>
          </w:tcPr>
          <w:p w14:paraId="4386E4A9">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较难</w:t>
            </w:r>
          </w:p>
        </w:tc>
        <w:tc>
          <w:tcPr>
            <w:tcW w:w="1045" w:type="pct"/>
            <w:vAlign w:val="center"/>
          </w:tcPr>
          <w:p w14:paraId="28FF0774">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不易</w:t>
            </w:r>
          </w:p>
        </w:tc>
        <w:tc>
          <w:tcPr>
            <w:tcW w:w="958" w:type="pct"/>
            <w:vAlign w:val="center"/>
          </w:tcPr>
          <w:p w14:paraId="5ACDC1BC">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较易</w:t>
            </w:r>
          </w:p>
        </w:tc>
      </w:tr>
      <w:tr w14:paraId="776F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4251229A">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维修工作量</w:t>
            </w:r>
          </w:p>
        </w:tc>
        <w:tc>
          <w:tcPr>
            <w:tcW w:w="1044" w:type="pct"/>
            <w:vAlign w:val="center"/>
          </w:tcPr>
          <w:p w14:paraId="3DA9484F">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较少</w:t>
            </w:r>
          </w:p>
        </w:tc>
        <w:tc>
          <w:tcPr>
            <w:tcW w:w="1001" w:type="pct"/>
            <w:vAlign w:val="center"/>
          </w:tcPr>
          <w:p w14:paraId="2247DACA">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较多</w:t>
            </w:r>
          </w:p>
        </w:tc>
        <w:tc>
          <w:tcPr>
            <w:tcW w:w="1045" w:type="pct"/>
            <w:vAlign w:val="center"/>
          </w:tcPr>
          <w:p w14:paraId="39A133ED">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较少</w:t>
            </w:r>
          </w:p>
        </w:tc>
        <w:tc>
          <w:tcPr>
            <w:tcW w:w="958" w:type="pct"/>
            <w:vAlign w:val="center"/>
          </w:tcPr>
          <w:p w14:paraId="7851DBF1">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较少</w:t>
            </w:r>
          </w:p>
        </w:tc>
      </w:tr>
      <w:tr w14:paraId="4E62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1234DA96">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运行业绩</w:t>
            </w:r>
          </w:p>
        </w:tc>
        <w:tc>
          <w:tcPr>
            <w:tcW w:w="1044" w:type="pct"/>
            <w:vAlign w:val="center"/>
          </w:tcPr>
          <w:p w14:paraId="10B25BC6">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最多</w:t>
            </w:r>
          </w:p>
        </w:tc>
        <w:tc>
          <w:tcPr>
            <w:tcW w:w="1001" w:type="pct"/>
            <w:vAlign w:val="center"/>
          </w:tcPr>
          <w:p w14:paraId="25778603">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较少</w:t>
            </w:r>
          </w:p>
        </w:tc>
        <w:tc>
          <w:tcPr>
            <w:tcW w:w="1045" w:type="pct"/>
            <w:vAlign w:val="center"/>
          </w:tcPr>
          <w:p w14:paraId="755CD4B6">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少</w:t>
            </w:r>
          </w:p>
        </w:tc>
        <w:tc>
          <w:tcPr>
            <w:tcW w:w="958" w:type="pct"/>
            <w:vAlign w:val="center"/>
          </w:tcPr>
          <w:p w14:paraId="05595018">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22"/>
                <w:sz w:val="24"/>
                <w:szCs w:val="24"/>
                <w14:textFill>
                  <w14:solidFill>
                    <w14:schemeClr w14:val="tx1"/>
                  </w14:solidFill>
                </w14:textFill>
              </w:rPr>
              <w:t>生活垃圾很少工</w:t>
            </w:r>
            <w:r>
              <w:rPr>
                <w:rFonts w:hint="eastAsia" w:ascii="仿宋" w:hAnsi="仿宋" w:cs="仿宋"/>
                <w:color w:val="000000" w:themeColor="text1"/>
                <w:spacing w:val="8"/>
                <w:sz w:val="24"/>
                <w:szCs w:val="24"/>
                <w14:textFill>
                  <w14:solidFill>
                    <w14:schemeClr w14:val="tx1"/>
                  </w14:solidFill>
                </w14:textFill>
              </w:rPr>
              <w:t>业固废较多</w:t>
            </w:r>
          </w:p>
        </w:tc>
      </w:tr>
      <w:tr w14:paraId="3A5A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2D2A4AD7">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综合评价</w:t>
            </w:r>
          </w:p>
        </w:tc>
        <w:tc>
          <w:tcPr>
            <w:tcW w:w="1044" w:type="pct"/>
            <w:vAlign w:val="center"/>
          </w:tcPr>
          <w:p w14:paraId="4A85DED0">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26"/>
                <w:sz w:val="24"/>
                <w:szCs w:val="24"/>
                <w14:textFill>
                  <w14:solidFill>
                    <w14:schemeClr w14:val="tx1"/>
                  </w14:solidFill>
                </w14:textFill>
              </w:rPr>
              <w:t>对垃圾的适应性</w:t>
            </w:r>
            <w:r>
              <w:rPr>
                <w:rFonts w:hint="eastAsia" w:ascii="仿宋" w:hAnsi="仿宋" w:cs="仿宋"/>
                <w:color w:val="000000" w:themeColor="text1"/>
                <w:spacing w:val="-1"/>
                <w:sz w:val="24"/>
                <w:szCs w:val="24"/>
                <w14:textFill>
                  <w14:solidFill>
                    <w14:schemeClr w14:val="tx1"/>
                  </w14:solidFill>
                </w14:textFill>
              </w:rPr>
              <w:t>强，故障少，处理</w:t>
            </w:r>
            <w:r>
              <w:rPr>
                <w:rFonts w:hint="eastAsia" w:ascii="仿宋" w:hAnsi="仿宋" w:cs="仿宋"/>
                <w:color w:val="000000" w:themeColor="text1"/>
                <w:spacing w:val="26"/>
                <w:sz w:val="24"/>
                <w:szCs w:val="24"/>
                <w14:textFill>
                  <w14:solidFill>
                    <w14:schemeClr w14:val="tx1"/>
                  </w14:solidFill>
                </w14:textFill>
              </w:rPr>
              <w:t>性能和环保性能</w:t>
            </w:r>
            <w:r>
              <w:rPr>
                <w:rFonts w:hint="eastAsia" w:ascii="仿宋" w:hAnsi="仿宋" w:cs="仿宋"/>
                <w:color w:val="000000" w:themeColor="text1"/>
                <w:spacing w:val="8"/>
                <w:sz w:val="24"/>
                <w:szCs w:val="24"/>
                <w14:textFill>
                  <w14:solidFill>
                    <w14:schemeClr w14:val="tx1"/>
                  </w14:solidFill>
                </w14:textFill>
              </w:rPr>
              <w:t>好，成本较低</w:t>
            </w:r>
          </w:p>
        </w:tc>
        <w:tc>
          <w:tcPr>
            <w:tcW w:w="1001" w:type="pct"/>
            <w:vAlign w:val="center"/>
          </w:tcPr>
          <w:p w14:paraId="0CC1C10F">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需前处理且故障率</w:t>
            </w:r>
            <w:r>
              <w:rPr>
                <w:rFonts w:hint="eastAsia" w:ascii="仿宋" w:hAnsi="仿宋" w:cs="仿宋"/>
                <w:color w:val="000000" w:themeColor="text1"/>
                <w:spacing w:val="6"/>
                <w:sz w:val="24"/>
                <w:szCs w:val="24"/>
                <w14:textFill>
                  <w14:solidFill>
                    <w14:schemeClr w14:val="tx1"/>
                  </w14:solidFill>
                </w14:textFill>
              </w:rPr>
              <w:t>较高，国内一般加</w:t>
            </w:r>
            <w:r>
              <w:rPr>
                <w:rFonts w:hint="eastAsia" w:ascii="仿宋" w:hAnsi="仿宋" w:cs="仿宋"/>
                <w:color w:val="000000" w:themeColor="text1"/>
                <w:spacing w:val="11"/>
                <w:sz w:val="24"/>
                <w:szCs w:val="24"/>
                <w14:textFill>
                  <w14:solidFill>
                    <w14:schemeClr w14:val="tx1"/>
                  </w14:solidFill>
                </w14:textFill>
              </w:rPr>
              <w:t>煤才能焚烧，环保</w:t>
            </w:r>
            <w:r>
              <w:rPr>
                <w:rFonts w:hint="eastAsia" w:ascii="仿宋" w:hAnsi="仿宋" w:cs="仿宋"/>
                <w:color w:val="000000" w:themeColor="text1"/>
                <w:spacing w:val="6"/>
                <w:sz w:val="24"/>
                <w:szCs w:val="24"/>
                <w14:textFill>
                  <w14:solidFill>
                    <w14:schemeClr w14:val="tx1"/>
                  </w14:solidFill>
                </w14:textFill>
              </w:rPr>
              <w:t>不易达标</w:t>
            </w:r>
          </w:p>
        </w:tc>
        <w:tc>
          <w:tcPr>
            <w:tcW w:w="1045" w:type="pct"/>
            <w:vAlign w:val="center"/>
          </w:tcPr>
          <w:p w14:paraId="00181AB8">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33"/>
                <w:sz w:val="24"/>
                <w:szCs w:val="24"/>
                <w14:textFill>
                  <w14:solidFill>
                    <w14:schemeClr w14:val="tx1"/>
                  </w14:solidFill>
                </w14:textFill>
              </w:rPr>
              <w:t>没有熔融焚烧</w:t>
            </w:r>
            <w:r>
              <w:rPr>
                <w:rFonts w:hint="eastAsia" w:ascii="仿宋" w:hAnsi="仿宋" w:cs="仿宋"/>
                <w:color w:val="000000" w:themeColor="text1"/>
                <w:spacing w:val="1"/>
                <w:sz w:val="24"/>
                <w:szCs w:val="24"/>
                <w14:textFill>
                  <w14:solidFill>
                    <w14:schemeClr w14:val="tx1"/>
                  </w14:solidFill>
                </w14:textFill>
              </w:rPr>
              <w:t>炉的热解炉，灰</w:t>
            </w:r>
            <w:r>
              <w:rPr>
                <w:rFonts w:hint="eastAsia" w:ascii="仿宋" w:hAnsi="仿宋" w:cs="仿宋"/>
                <w:color w:val="000000" w:themeColor="text1"/>
                <w:spacing w:val="33"/>
                <w:sz w:val="24"/>
                <w:szCs w:val="24"/>
                <w14:textFill>
                  <w14:solidFill>
                    <w14:schemeClr w14:val="tx1"/>
                  </w14:solidFill>
                </w14:textFill>
              </w:rPr>
              <w:t>渣不可燃烬热</w:t>
            </w:r>
            <w:r>
              <w:rPr>
                <w:rFonts w:hint="eastAsia" w:ascii="仿宋" w:hAnsi="仿宋" w:cs="仿宋"/>
                <w:color w:val="000000" w:themeColor="text1"/>
                <w:spacing w:val="1"/>
                <w:sz w:val="24"/>
                <w:szCs w:val="24"/>
                <w14:textFill>
                  <w14:solidFill>
                    <w14:schemeClr w14:val="tx1"/>
                  </w14:solidFill>
                </w14:textFill>
              </w:rPr>
              <w:t>灼减率高，环保</w:t>
            </w:r>
            <w:r>
              <w:rPr>
                <w:rFonts w:hint="eastAsia" w:ascii="仿宋" w:hAnsi="仿宋" w:cs="仿宋"/>
                <w:color w:val="000000" w:themeColor="text1"/>
                <w:spacing w:val="7"/>
                <w:sz w:val="24"/>
                <w:szCs w:val="24"/>
                <w14:textFill>
                  <w14:solidFill>
                    <w14:schemeClr w14:val="tx1"/>
                  </w14:solidFill>
                </w14:textFill>
              </w:rPr>
              <w:t>不易达标</w:t>
            </w:r>
          </w:p>
        </w:tc>
        <w:tc>
          <w:tcPr>
            <w:tcW w:w="958" w:type="pct"/>
            <w:vAlign w:val="center"/>
          </w:tcPr>
          <w:p w14:paraId="37C5B626">
            <w:pPr>
              <w:spacing w:line="240" w:lineRule="auto"/>
              <w:jc w:val="center"/>
              <w:rPr>
                <w:rFonts w:hint="eastAsia" w:ascii="仿宋" w:hAnsi="仿宋" w:cs="仿宋"/>
                <w:color w:val="000000" w:themeColor="text1"/>
                <w:spacing w:val="4"/>
                <w:sz w:val="24"/>
                <w:szCs w:val="24"/>
                <w14:textFill>
                  <w14:solidFill>
                    <w14:schemeClr w14:val="tx1"/>
                  </w14:solidFill>
                </w14:textFill>
              </w:rPr>
            </w:pPr>
            <w:r>
              <w:rPr>
                <w:rFonts w:hint="eastAsia" w:ascii="仿宋" w:hAnsi="仿宋" w:cs="仿宋"/>
                <w:color w:val="000000" w:themeColor="text1"/>
                <w:spacing w:val="22"/>
                <w:sz w:val="24"/>
                <w:szCs w:val="24"/>
                <w14:textFill>
                  <w14:solidFill>
                    <w14:schemeClr w14:val="tx1"/>
                  </w14:solidFill>
                </w14:textFill>
              </w:rPr>
              <w:t>要求垃圾热值较</w:t>
            </w:r>
            <w:r>
              <w:rPr>
                <w:rFonts w:hint="eastAsia" w:ascii="仿宋" w:hAnsi="仿宋" w:cs="仿宋"/>
                <w:color w:val="000000" w:themeColor="text1"/>
                <w:spacing w:val="4"/>
                <w:sz w:val="24"/>
                <w:szCs w:val="24"/>
                <w14:textFill>
                  <w14:solidFill>
                    <w14:schemeClr w14:val="tx1"/>
                  </w14:solidFill>
                </w14:textFill>
              </w:rPr>
              <w:t>高</w:t>
            </w:r>
          </w:p>
          <w:p w14:paraId="36E99737">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(2500</w:t>
            </w:r>
            <w:r>
              <w:rPr>
                <w:rFonts w:hint="eastAsia" w:ascii="仿宋" w:hAnsi="仿宋" w:cs="仿宋"/>
                <w:color w:val="000000" w:themeColor="text1"/>
                <w:sz w:val="24"/>
                <w:szCs w:val="24"/>
                <w14:textFill>
                  <w14:solidFill>
                    <w14:schemeClr w14:val="tx1"/>
                  </w14:solidFill>
                </w14:textFill>
              </w:rPr>
              <w:t>kcal</w:t>
            </w:r>
            <w:r>
              <w:rPr>
                <w:rFonts w:hint="eastAsia" w:ascii="仿宋" w:hAnsi="仿宋" w:cs="仿宋"/>
                <w:color w:val="000000" w:themeColor="text1"/>
                <w:spacing w:val="4"/>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kg</w:t>
            </w:r>
            <w:r>
              <w:rPr>
                <w:rFonts w:hint="eastAsia" w:ascii="仿宋" w:hAnsi="仿宋" w:cs="仿宋"/>
                <w:color w:val="000000" w:themeColor="text1"/>
                <w:spacing w:val="4"/>
                <w:sz w:val="24"/>
                <w:szCs w:val="24"/>
                <w14:textFill>
                  <w14:solidFill>
                    <w14:schemeClr w14:val="tx1"/>
                  </w14:solidFill>
                </w14:textFill>
              </w:rPr>
              <w:t>以</w:t>
            </w:r>
            <w:r>
              <w:rPr>
                <w:rFonts w:hint="eastAsia" w:ascii="仿宋" w:hAnsi="仿宋" w:cs="仿宋"/>
                <w:color w:val="000000" w:themeColor="text1"/>
                <w:spacing w:val="8"/>
                <w:sz w:val="24"/>
                <w:szCs w:val="24"/>
                <w14:textFill>
                  <w14:solidFill>
                    <w14:schemeClr w14:val="tx1"/>
                  </w14:solidFill>
                </w14:textFill>
              </w:rPr>
              <w:t>上)，且运行成本</w:t>
            </w:r>
            <w:r>
              <w:rPr>
                <w:rFonts w:hint="eastAsia" w:ascii="仿宋" w:hAnsi="仿宋" w:cs="仿宋"/>
                <w:color w:val="000000" w:themeColor="text1"/>
                <w:spacing w:val="5"/>
                <w:sz w:val="24"/>
                <w:szCs w:val="24"/>
                <w14:textFill>
                  <w14:solidFill>
                    <w14:schemeClr w14:val="tx1"/>
                  </w14:solidFill>
                </w14:textFill>
              </w:rPr>
              <w:t>较高</w:t>
            </w:r>
          </w:p>
        </w:tc>
      </w:tr>
      <w:tr w14:paraId="15AB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950" w:type="pct"/>
            <w:vAlign w:val="center"/>
          </w:tcPr>
          <w:p w14:paraId="4B05F7C9">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16"/>
                <w:sz w:val="24"/>
                <w:szCs w:val="24"/>
                <w14:textFill>
                  <w14:solidFill>
                    <w14:schemeClr w14:val="tx1"/>
                  </w14:solidFill>
                </w14:textFill>
              </w:rPr>
              <w:t>对本工程的适用</w:t>
            </w:r>
            <w:r>
              <w:rPr>
                <w:rFonts w:hint="eastAsia" w:ascii="仿宋" w:hAnsi="仿宋" w:cs="仿宋"/>
                <w:color w:val="000000" w:themeColor="text1"/>
                <w:sz w:val="24"/>
                <w:szCs w:val="24"/>
                <w14:textFill>
                  <w14:solidFill>
                    <w14:schemeClr w14:val="tx1"/>
                  </w14:solidFill>
                </w14:textFill>
              </w:rPr>
              <w:t>性</w:t>
            </w:r>
          </w:p>
        </w:tc>
        <w:tc>
          <w:tcPr>
            <w:tcW w:w="1044" w:type="pct"/>
            <w:vAlign w:val="center"/>
          </w:tcPr>
          <w:p w14:paraId="3EFFAA0B">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合适</w:t>
            </w:r>
          </w:p>
        </w:tc>
        <w:tc>
          <w:tcPr>
            <w:tcW w:w="1001" w:type="pct"/>
            <w:vAlign w:val="center"/>
          </w:tcPr>
          <w:p w14:paraId="712B4188">
            <w:pPr>
              <w:spacing w:line="240" w:lineRule="auto"/>
              <w:jc w:val="center"/>
              <w:rPr>
                <w:rFonts w:hint="eastAsia" w:ascii="仿宋" w:hAnsi="仿宋" w:cs="仿宋"/>
                <w:color w:val="000000" w:themeColor="text1"/>
                <w:spacing w:val="5"/>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不合适</w:t>
            </w:r>
          </w:p>
        </w:tc>
        <w:tc>
          <w:tcPr>
            <w:tcW w:w="1045" w:type="pct"/>
            <w:vAlign w:val="center"/>
          </w:tcPr>
          <w:p w14:paraId="237E00EF">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不合适</w:t>
            </w:r>
          </w:p>
        </w:tc>
        <w:tc>
          <w:tcPr>
            <w:tcW w:w="958" w:type="pct"/>
            <w:vAlign w:val="center"/>
          </w:tcPr>
          <w:p w14:paraId="33F6947C">
            <w:pPr>
              <w:spacing w:line="240" w:lineRule="auto"/>
              <w:jc w:val="center"/>
              <w:rPr>
                <w:rFonts w:hint="eastAsia" w:ascii="仿宋" w:hAnsi="仿宋" w:cs="仿宋"/>
                <w:color w:val="000000" w:themeColor="text1"/>
                <w:spacing w:val="7"/>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不合适</w:t>
            </w:r>
          </w:p>
        </w:tc>
      </w:tr>
    </w:tbl>
    <w:p w14:paraId="6134A4E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通过比较，机械炉排炉相对其它炉型有以下几个特点：</w:t>
      </w:r>
    </w:p>
    <w:p w14:paraId="3BA70444">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技术成熟，尤其大型焚烧厂几乎都采用该炉型；</w:t>
      </w:r>
    </w:p>
    <w:p w14:paraId="115B7016">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具有独立的预热干燥区，炉膛内垃圾焚烧产生的热量可对新进入的垃圾进行预热干燥，特别能适应我国城市生活垃圾高水分、低热值的特性；</w:t>
      </w:r>
    </w:p>
    <w:p w14:paraId="7BE7A520">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操作可靠方便，对垃圾适应性强，不易造成二次污染；</w:t>
      </w:r>
    </w:p>
    <w:p w14:paraId="00B6B21E">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经济性好，垃圾不需要预处理直接进入炉内，运行费用相对较低；</w:t>
      </w:r>
    </w:p>
    <w:p w14:paraId="7BDBD52E">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设备寿命长，运行可靠，维护方便，国内已有部分配套技术和设备。</w:t>
      </w:r>
    </w:p>
    <w:p w14:paraId="3B8E2CF7">
      <w:pPr>
        <w:numPr>
          <w:ilvl w:val="0"/>
          <w:numId w:val="3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是目前的主流工艺：国家建设部、国家环保总局、科技部发布的《城市生活垃圾处理及污染防治技术政策》中指出：“目前垃圾焚烧宜采用以炉排炉为基础的成熟技术，审慎采用其它炉型的焚烧炉”。</w:t>
      </w:r>
    </w:p>
    <w:p w14:paraId="585FCA4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基于以上几点理由，推荐选用机械炉排炉作为本项目的焚烧炉炉型。</w:t>
      </w:r>
    </w:p>
    <w:p w14:paraId="6DE02217">
      <w:pPr>
        <w:pStyle w:val="8"/>
        <w:outlineLvl w:val="2"/>
        <w:rPr>
          <w:color w:val="000000" w:themeColor="text1"/>
          <w14:textFill>
            <w14:solidFill>
              <w14:schemeClr w14:val="tx1"/>
            </w14:solidFill>
          </w14:textFill>
        </w:rPr>
      </w:pPr>
      <w:bookmarkStart w:id="164" w:name="_Toc7919"/>
      <w:bookmarkStart w:id="165" w:name="_Toc8902"/>
      <w:r>
        <w:rPr>
          <w:rFonts w:hint="eastAsia"/>
          <w:color w:val="000000" w:themeColor="text1"/>
          <w14:textFill>
            <w14:solidFill>
              <w14:schemeClr w14:val="tx1"/>
            </w14:solidFill>
          </w14:textFill>
        </w:rPr>
        <w:t>焚烧生产线配置技术方案</w:t>
      </w:r>
      <w:bookmarkEnd w:id="164"/>
    </w:p>
    <w:p w14:paraId="4A88C8D0">
      <w:pPr>
        <w:ind w:firstLine="548" w:firstLineChars="200"/>
        <w:rPr>
          <w:rFonts w:hint="eastAsia" w:ascii="仿宋" w:hAnsi="仿宋" w:cs="仿宋"/>
          <w:color w:val="000000" w:themeColor="text1"/>
          <w:spacing w:val="-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根据《城市生活垃圾焚烧处理工程项目建设标准》的规定和国内外城市生活</w:t>
      </w:r>
      <w:r>
        <w:rPr>
          <w:rFonts w:hint="eastAsia" w:ascii="仿宋" w:hAnsi="仿宋" w:cs="仿宋"/>
          <w:color w:val="000000" w:themeColor="text1"/>
          <w:spacing w:val="-2"/>
          <w:szCs w:val="28"/>
          <w14:textFill>
            <w14:solidFill>
              <w14:schemeClr w14:val="tx1"/>
            </w14:solidFill>
          </w14:textFill>
        </w:rPr>
        <w:t>垃圾焚烧发电厂建设的经验，本项目处理规模为处理规模1</w:t>
      </w:r>
      <w:r>
        <w:rPr>
          <w:rFonts w:hint="eastAsia" w:ascii="仿宋" w:hAnsi="仿宋" w:cs="仿宋"/>
          <w:color w:val="000000" w:themeColor="text1"/>
          <w:spacing w:val="-3"/>
          <w:szCs w:val="28"/>
          <w14:textFill>
            <w14:solidFill>
              <w14:schemeClr w14:val="tx1"/>
            </w14:solidFill>
          </w14:textFill>
        </w:rPr>
        <w:t>200t/d，属于II类垃</w:t>
      </w:r>
      <w:r>
        <w:rPr>
          <w:rFonts w:hint="eastAsia" w:ascii="仿宋" w:hAnsi="仿宋" w:cs="仿宋"/>
          <w:color w:val="000000" w:themeColor="text1"/>
          <w:spacing w:val="-2"/>
          <w:szCs w:val="28"/>
          <w14:textFill>
            <w14:solidFill>
              <w14:schemeClr w14:val="tx1"/>
            </w14:solidFill>
          </w14:textFill>
        </w:rPr>
        <w:t>圾焚烧发电厂，对于II类处理规模的垃圾焚烧发电</w:t>
      </w:r>
      <w:r>
        <w:rPr>
          <w:rFonts w:hint="eastAsia" w:ascii="仿宋" w:hAnsi="仿宋" w:cs="仿宋"/>
          <w:color w:val="000000" w:themeColor="text1"/>
          <w:spacing w:val="-3"/>
          <w:szCs w:val="28"/>
          <w14:textFill>
            <w14:solidFill>
              <w14:schemeClr w14:val="tx1"/>
            </w14:solidFill>
          </w14:textFill>
        </w:rPr>
        <w:t>厂，焚烧生产线数量应为2~4条。根据生活垃圾焚烧发电项目总建设规模为1200吨/</w:t>
      </w:r>
      <w:r>
        <w:rPr>
          <w:rFonts w:hint="eastAsia" w:ascii="仿宋" w:hAnsi="仿宋" w:cs="仿宋"/>
          <w:color w:val="000000" w:themeColor="text1"/>
          <w:spacing w:val="-4"/>
          <w:szCs w:val="28"/>
          <w14:textFill>
            <w14:solidFill>
              <w14:schemeClr w14:val="tx1"/>
            </w14:solidFill>
          </w14:textFill>
        </w:rPr>
        <w:t>天，一期处理规模800t/d的要求，对2条和3条焚烧生产线两种方案进行分析比</w:t>
      </w:r>
      <w:r>
        <w:rPr>
          <w:rFonts w:hint="eastAsia" w:ascii="仿宋" w:hAnsi="仿宋" w:cs="仿宋"/>
          <w:color w:val="000000" w:themeColor="text1"/>
          <w:spacing w:val="-5"/>
          <w:szCs w:val="28"/>
          <w14:textFill>
            <w14:solidFill>
              <w14:schemeClr w14:val="tx1"/>
            </w14:solidFill>
          </w14:textFill>
        </w:rPr>
        <w:t>较。两种生产线布置方案</w:t>
      </w:r>
      <w:r>
        <w:rPr>
          <w:rFonts w:hint="eastAsia" w:ascii="仿宋" w:hAnsi="仿宋" w:cs="仿宋"/>
          <w:color w:val="000000" w:themeColor="text1"/>
          <w:spacing w:val="-1"/>
          <w:szCs w:val="28"/>
          <w14:textFill>
            <w14:solidFill>
              <w14:schemeClr w14:val="tx1"/>
            </w14:solidFill>
          </w14:textFill>
        </w:rPr>
        <w:t>各自的处理能力配置详见下表。</w:t>
      </w:r>
    </w:p>
    <w:p w14:paraId="4A289946">
      <w:pPr>
        <w:pStyle w:val="2"/>
        <w:rPr>
          <w:rFonts w:hint="eastAsia"/>
        </w:rPr>
      </w:pPr>
    </w:p>
    <w:p w14:paraId="7C8CA229">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不同生产线布置方案的处理能力配置表</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3"/>
        <w:gridCol w:w="2289"/>
        <w:gridCol w:w="2458"/>
        <w:gridCol w:w="2563"/>
        <w:gridCol w:w="90"/>
      </w:tblGrid>
      <w:tr w14:paraId="2ED0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49" w:type="pct"/>
            <w:shd w:val="clear" w:color="auto" w:fill="BDD6EE" w:themeFill="accent1" w:themeFillTint="66"/>
            <w:vAlign w:val="center"/>
          </w:tcPr>
          <w:p w14:paraId="3A35ED7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方案</w:t>
            </w:r>
          </w:p>
        </w:tc>
        <w:tc>
          <w:tcPr>
            <w:tcW w:w="1376" w:type="pct"/>
            <w:shd w:val="clear" w:color="auto" w:fill="BDD6EE" w:themeFill="accent1" w:themeFillTint="66"/>
            <w:vAlign w:val="center"/>
          </w:tcPr>
          <w:p w14:paraId="41E4B22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5"/>
                <w:position w:val="2"/>
                <w:sz w:val="24"/>
                <w:szCs w:val="24"/>
                <w14:textFill>
                  <w14:solidFill>
                    <w14:schemeClr w14:val="tx1"/>
                  </w14:solidFill>
                </w14:textFill>
              </w:rPr>
              <w:t>单台炉处理能力(t/d)</w:t>
            </w:r>
          </w:p>
        </w:tc>
        <w:tc>
          <w:tcPr>
            <w:tcW w:w="1478" w:type="pct"/>
            <w:shd w:val="clear" w:color="auto" w:fill="BDD6EE" w:themeFill="accent1" w:themeFillTint="66"/>
            <w:vAlign w:val="center"/>
          </w:tcPr>
          <w:p w14:paraId="7D93183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7"/>
                <w:sz w:val="24"/>
                <w:szCs w:val="24"/>
                <w14:textFill>
                  <w14:solidFill>
                    <w14:schemeClr w14:val="tx1"/>
                  </w14:solidFill>
                </w14:textFill>
              </w:rPr>
              <w:t>焚烧生产线数量</w:t>
            </w:r>
          </w:p>
        </w:tc>
        <w:tc>
          <w:tcPr>
            <w:tcW w:w="1541" w:type="pct"/>
            <w:shd w:val="clear" w:color="auto" w:fill="BDD6EE" w:themeFill="accent1" w:themeFillTint="66"/>
            <w:vAlign w:val="center"/>
          </w:tcPr>
          <w:p w14:paraId="0F141F7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6"/>
                <w:position w:val="2"/>
                <w:sz w:val="24"/>
                <w:szCs w:val="24"/>
                <w14:textFill>
                  <w14:solidFill>
                    <w14:schemeClr w14:val="tx1"/>
                  </w14:solidFill>
                </w14:textFill>
              </w:rPr>
              <w:t>全厂规模（吨/天）</w:t>
            </w:r>
          </w:p>
        </w:tc>
        <w:tc>
          <w:tcPr>
            <w:tcW w:w="54" w:type="pct"/>
            <w:vAlign w:val="center"/>
          </w:tcPr>
          <w:p w14:paraId="1206ED79">
            <w:pPr>
              <w:spacing w:line="240" w:lineRule="auto"/>
              <w:jc w:val="center"/>
              <w:rPr>
                <w:rFonts w:hint="eastAsia" w:ascii="仿宋" w:hAnsi="仿宋" w:cs="仿宋"/>
                <w:color w:val="000000" w:themeColor="text1"/>
                <w:sz w:val="24"/>
                <w:szCs w:val="24"/>
                <w14:textFill>
                  <w14:solidFill>
                    <w14:schemeClr w14:val="tx1"/>
                  </w14:solidFill>
                </w14:textFill>
              </w:rPr>
            </w:pPr>
          </w:p>
        </w:tc>
      </w:tr>
      <w:tr w14:paraId="5A9C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49" w:type="pct"/>
            <w:shd w:val="clear" w:color="auto" w:fill="auto"/>
            <w:vAlign w:val="center"/>
          </w:tcPr>
          <w:p w14:paraId="20944748">
            <w:pPr>
              <w:spacing w:line="240" w:lineRule="auto"/>
              <w:jc w:val="center"/>
              <w:rPr>
                <w:rFonts w:hint="eastAsia" w:ascii="仿宋" w:hAnsi="仿宋" w:cs="仿宋"/>
                <w:b/>
                <w:bCs/>
                <w:color w:val="000000" w:themeColor="text1"/>
                <w:spacing w:val="3"/>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方案一</w:t>
            </w:r>
          </w:p>
        </w:tc>
        <w:tc>
          <w:tcPr>
            <w:tcW w:w="1376" w:type="pct"/>
            <w:shd w:val="clear" w:color="auto" w:fill="auto"/>
            <w:vAlign w:val="center"/>
          </w:tcPr>
          <w:p w14:paraId="737F64BA">
            <w:pPr>
              <w:spacing w:line="240" w:lineRule="auto"/>
              <w:jc w:val="center"/>
              <w:rPr>
                <w:rFonts w:hint="eastAsia" w:ascii="仿宋" w:hAnsi="仿宋" w:cs="仿宋"/>
                <w:b/>
                <w:bCs/>
                <w:color w:val="000000" w:themeColor="text1"/>
                <w:spacing w:val="5"/>
                <w:position w:val="2"/>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800+400</w:t>
            </w:r>
          </w:p>
        </w:tc>
        <w:tc>
          <w:tcPr>
            <w:tcW w:w="1478" w:type="pct"/>
            <w:shd w:val="clear" w:color="auto" w:fill="auto"/>
            <w:vAlign w:val="center"/>
          </w:tcPr>
          <w:p w14:paraId="79483006">
            <w:pPr>
              <w:spacing w:line="240" w:lineRule="auto"/>
              <w:jc w:val="center"/>
              <w:rPr>
                <w:rFonts w:hint="eastAsia" w:ascii="仿宋" w:hAnsi="仿宋" w:cs="仿宋"/>
                <w:b/>
                <w:bCs/>
                <w:color w:val="000000" w:themeColor="text1"/>
                <w:spacing w:val="7"/>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1541" w:type="pct"/>
            <w:shd w:val="clear" w:color="auto" w:fill="auto"/>
            <w:vAlign w:val="center"/>
          </w:tcPr>
          <w:p w14:paraId="61674B24">
            <w:pPr>
              <w:spacing w:line="240" w:lineRule="auto"/>
              <w:jc w:val="center"/>
              <w:rPr>
                <w:rFonts w:hint="eastAsia" w:ascii="仿宋" w:hAnsi="仿宋" w:cs="仿宋"/>
                <w:b/>
                <w:bCs/>
                <w:color w:val="000000" w:themeColor="text1"/>
                <w:spacing w:val="6"/>
                <w:position w:val="2"/>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1200</w:t>
            </w:r>
          </w:p>
        </w:tc>
        <w:tc>
          <w:tcPr>
            <w:tcW w:w="54" w:type="pct"/>
            <w:vAlign w:val="center"/>
          </w:tcPr>
          <w:p w14:paraId="52BA92BF">
            <w:pPr>
              <w:spacing w:line="240" w:lineRule="auto"/>
              <w:jc w:val="center"/>
              <w:rPr>
                <w:rFonts w:hint="eastAsia" w:ascii="仿宋" w:hAnsi="仿宋" w:cs="仿宋"/>
                <w:color w:val="000000" w:themeColor="text1"/>
                <w:sz w:val="24"/>
                <w:szCs w:val="24"/>
                <w14:textFill>
                  <w14:solidFill>
                    <w14:schemeClr w14:val="tx1"/>
                  </w14:solidFill>
                </w14:textFill>
              </w:rPr>
            </w:pPr>
          </w:p>
        </w:tc>
      </w:tr>
      <w:tr w14:paraId="4B9D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49" w:type="pct"/>
            <w:shd w:val="clear" w:color="auto" w:fill="auto"/>
            <w:vAlign w:val="center"/>
          </w:tcPr>
          <w:p w14:paraId="4303E6FD">
            <w:pPr>
              <w:spacing w:line="240" w:lineRule="auto"/>
              <w:jc w:val="center"/>
              <w:rPr>
                <w:rFonts w:hint="eastAsia" w:ascii="仿宋" w:hAnsi="仿宋" w:cs="仿宋"/>
                <w:b/>
                <w:bCs/>
                <w:color w:val="000000" w:themeColor="text1"/>
                <w:spacing w:val="3"/>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方案二</w:t>
            </w:r>
          </w:p>
        </w:tc>
        <w:tc>
          <w:tcPr>
            <w:tcW w:w="1376" w:type="pct"/>
            <w:shd w:val="clear" w:color="auto" w:fill="auto"/>
            <w:vAlign w:val="center"/>
          </w:tcPr>
          <w:p w14:paraId="07C16190">
            <w:pPr>
              <w:spacing w:line="240" w:lineRule="auto"/>
              <w:jc w:val="center"/>
              <w:rPr>
                <w:rFonts w:hint="eastAsia" w:ascii="仿宋" w:hAnsi="仿宋" w:cs="仿宋"/>
                <w:b/>
                <w:bCs/>
                <w:color w:val="000000" w:themeColor="text1"/>
                <w:spacing w:val="5"/>
                <w:position w:val="2"/>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400</w:t>
            </w:r>
          </w:p>
        </w:tc>
        <w:tc>
          <w:tcPr>
            <w:tcW w:w="1478" w:type="pct"/>
            <w:shd w:val="clear" w:color="auto" w:fill="auto"/>
            <w:vAlign w:val="center"/>
          </w:tcPr>
          <w:p w14:paraId="20C88923">
            <w:pPr>
              <w:spacing w:line="240" w:lineRule="auto"/>
              <w:jc w:val="center"/>
              <w:rPr>
                <w:rFonts w:hint="eastAsia" w:ascii="仿宋" w:hAnsi="仿宋" w:cs="仿宋"/>
                <w:b/>
                <w:bCs/>
                <w:color w:val="000000" w:themeColor="text1"/>
                <w:spacing w:val="7"/>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1541" w:type="pct"/>
            <w:shd w:val="clear" w:color="auto" w:fill="auto"/>
            <w:vAlign w:val="center"/>
          </w:tcPr>
          <w:p w14:paraId="4841C38E">
            <w:pPr>
              <w:spacing w:line="240" w:lineRule="auto"/>
              <w:jc w:val="center"/>
              <w:rPr>
                <w:rFonts w:hint="eastAsia" w:ascii="仿宋" w:hAnsi="仿宋" w:cs="仿宋"/>
                <w:b/>
                <w:bCs/>
                <w:color w:val="000000" w:themeColor="text1"/>
                <w:spacing w:val="6"/>
                <w:position w:val="2"/>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1200</w:t>
            </w:r>
          </w:p>
        </w:tc>
        <w:tc>
          <w:tcPr>
            <w:tcW w:w="54" w:type="pct"/>
            <w:vAlign w:val="center"/>
          </w:tcPr>
          <w:p w14:paraId="1DF7EF23">
            <w:pPr>
              <w:spacing w:line="240" w:lineRule="auto"/>
              <w:jc w:val="center"/>
              <w:rPr>
                <w:rFonts w:hint="eastAsia" w:ascii="仿宋" w:hAnsi="仿宋" w:cs="仿宋"/>
                <w:color w:val="000000" w:themeColor="text1"/>
                <w:sz w:val="24"/>
                <w:szCs w:val="24"/>
                <w14:textFill>
                  <w14:solidFill>
                    <w14:schemeClr w14:val="tx1"/>
                  </w14:solidFill>
                </w14:textFill>
              </w:rPr>
            </w:pPr>
          </w:p>
        </w:tc>
      </w:tr>
    </w:tbl>
    <w:p w14:paraId="0026C905">
      <w:pPr>
        <w:ind w:firstLine="548"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处理能力为800t/d的焚烧线在国内有应用，但是不是很多，400t/d的焚烧</w:t>
      </w:r>
      <w:r>
        <w:rPr>
          <w:rFonts w:hint="eastAsia" w:ascii="仿宋" w:hAnsi="仿宋" w:cs="仿宋"/>
          <w:color w:val="000000" w:themeColor="text1"/>
          <w:spacing w:val="-1"/>
          <w:szCs w:val="28"/>
          <w14:textFill>
            <w14:solidFill>
              <w14:schemeClr w14:val="tx1"/>
            </w14:solidFill>
          </w14:textFill>
        </w:rPr>
        <w:t>炉成熟产品，在国内运行业绩较多。采用400t/d的焚烧炉需设置3条</w:t>
      </w:r>
      <w:r>
        <w:rPr>
          <w:rFonts w:hint="eastAsia" w:ascii="仿宋" w:hAnsi="仿宋" w:cs="仿宋"/>
          <w:color w:val="000000" w:themeColor="text1"/>
          <w:spacing w:val="-2"/>
          <w:szCs w:val="28"/>
          <w14:textFill>
            <w14:solidFill>
              <w14:schemeClr w14:val="tx1"/>
            </w14:solidFill>
          </w14:textFill>
        </w:rPr>
        <w:t>焚烧线，投资成本高，经济性差。单台炉处理能力分别为800t/d和400t/d。国内目前关</w:t>
      </w:r>
      <w:r>
        <w:rPr>
          <w:rFonts w:hint="eastAsia" w:ascii="仿宋" w:hAnsi="仿宋" w:cs="仿宋"/>
          <w:color w:val="000000" w:themeColor="text1"/>
          <w:spacing w:val="-3"/>
          <w:szCs w:val="28"/>
          <w14:textFill>
            <w14:solidFill>
              <w14:schemeClr w14:val="tx1"/>
            </w14:solidFill>
          </w14:textFill>
        </w:rPr>
        <w:t>于两者都有的实际运行经验与数据，技术成熟、产品可靠，主要设备基本实现了</w:t>
      </w:r>
      <w:r>
        <w:rPr>
          <w:rFonts w:hint="eastAsia" w:ascii="仿宋" w:hAnsi="仿宋" w:cs="仿宋"/>
          <w:color w:val="000000" w:themeColor="text1"/>
          <w:spacing w:val="-4"/>
          <w:szCs w:val="28"/>
          <w14:textFill>
            <w14:solidFill>
              <w14:schemeClr w14:val="tx1"/>
            </w14:solidFill>
          </w14:textFill>
        </w:rPr>
        <w:t>国产化。</w:t>
      </w:r>
    </w:p>
    <w:p w14:paraId="6AFA6495">
      <w:pPr>
        <w:ind w:firstLine="552"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2"/>
          <w:szCs w:val="28"/>
          <w14:textFill>
            <w14:solidFill>
              <w14:schemeClr w14:val="tx1"/>
            </w14:solidFill>
          </w14:textFill>
        </w:rPr>
        <w:t>从技术可行性考虑，单台炉处理能力为800t/d和400t/d的焚烧系统都属于</w:t>
      </w:r>
      <w:r>
        <w:rPr>
          <w:rFonts w:hint="eastAsia" w:ascii="仿宋" w:hAnsi="仿宋" w:cs="仿宋"/>
          <w:color w:val="000000" w:themeColor="text1"/>
          <w:spacing w:val="-3"/>
          <w:szCs w:val="28"/>
          <w14:textFill>
            <w14:solidFill>
              <w14:schemeClr w14:val="tx1"/>
            </w14:solidFill>
          </w14:textFill>
        </w:rPr>
        <w:t>成熟的技术，不存在大的技术差别，在国内都有成功建设和运行运行的经验，都</w:t>
      </w:r>
      <w:r>
        <w:rPr>
          <w:rFonts w:hint="eastAsia" w:ascii="仿宋" w:hAnsi="仿宋" w:cs="仿宋"/>
          <w:color w:val="000000" w:themeColor="text1"/>
          <w:spacing w:val="-1"/>
          <w:szCs w:val="28"/>
          <w14:textFill>
            <w14:solidFill>
              <w14:schemeClr w14:val="tx1"/>
            </w14:solidFill>
          </w14:textFill>
        </w:rPr>
        <w:t>能够适应当地的生活垃圾，因此在方案一和方案二在技术上都可行。</w:t>
      </w:r>
    </w:p>
    <w:p w14:paraId="22F1A8EF">
      <w:pPr>
        <w:ind w:firstLine="548"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从设备维修时对焚烧发电厂处理能力和汽轮机工作稳定性的影响考</w:t>
      </w:r>
      <w:r>
        <w:rPr>
          <w:rFonts w:hint="eastAsia" w:ascii="仿宋" w:hAnsi="仿宋" w:cs="仿宋"/>
          <w:color w:val="000000" w:themeColor="text1"/>
          <w:spacing w:val="-4"/>
          <w:szCs w:val="28"/>
          <w14:textFill>
            <w14:solidFill>
              <w14:schemeClr w14:val="tx1"/>
            </w14:solidFill>
          </w14:textFill>
        </w:rPr>
        <w:t>虑，焚烧</w:t>
      </w:r>
      <w:r>
        <w:rPr>
          <w:rFonts w:hint="eastAsia" w:ascii="仿宋" w:hAnsi="仿宋" w:cs="仿宋"/>
          <w:color w:val="000000" w:themeColor="text1"/>
          <w:spacing w:val="-3"/>
          <w:szCs w:val="28"/>
          <w14:textFill>
            <w14:solidFill>
              <w14:schemeClr w14:val="tx1"/>
            </w14:solidFill>
          </w14:textFill>
        </w:rPr>
        <w:t>线数量越多，设备备用性越好，故障和检修对焚烧发电厂的影响越小。也有助于</w:t>
      </w:r>
      <w:r>
        <w:rPr>
          <w:rFonts w:hint="eastAsia" w:ascii="仿宋" w:hAnsi="仿宋" w:cs="仿宋"/>
          <w:color w:val="000000" w:themeColor="text1"/>
          <w:spacing w:val="-1"/>
          <w:szCs w:val="28"/>
          <w14:textFill>
            <w14:solidFill>
              <w14:schemeClr w14:val="tx1"/>
            </w14:solidFill>
          </w14:textFill>
        </w:rPr>
        <w:t>汽轮机组工况的稳定。</w:t>
      </w:r>
    </w:p>
    <w:p w14:paraId="2BEAA3FB">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方案一、方案二焚烧线配置方案优缺点比较表</w:t>
      </w:r>
    </w:p>
    <w:tbl>
      <w:tblPr>
        <w:tblStyle w:val="5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65"/>
        <w:gridCol w:w="3167"/>
        <w:gridCol w:w="2782"/>
      </w:tblGrid>
      <w:tr w14:paraId="6FED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1422" w:type="pct"/>
            <w:shd w:val="clear" w:color="auto" w:fill="BDD6EE" w:themeFill="accent1" w:themeFillTint="66"/>
            <w:vAlign w:val="center"/>
          </w:tcPr>
          <w:p w14:paraId="63A18EC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4"/>
                <w:sz w:val="24"/>
                <w:szCs w:val="24"/>
                <w14:textFill>
                  <w14:solidFill>
                    <w14:schemeClr w14:val="tx1"/>
                  </w14:solidFill>
                </w14:textFill>
              </w:rPr>
              <w:t>项目</w:t>
            </w:r>
          </w:p>
        </w:tc>
        <w:tc>
          <w:tcPr>
            <w:tcW w:w="1904" w:type="pct"/>
            <w:shd w:val="clear" w:color="auto" w:fill="BDD6EE" w:themeFill="accent1" w:themeFillTint="66"/>
            <w:vAlign w:val="center"/>
          </w:tcPr>
          <w:p w14:paraId="47EF43C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4"/>
                <w:position w:val="2"/>
                <w:sz w:val="24"/>
                <w:szCs w:val="24"/>
                <w14:textFill>
                  <w14:solidFill>
                    <w14:schemeClr w14:val="tx1"/>
                  </w14:solidFill>
                </w14:textFill>
              </w:rPr>
              <w:t>方案一(800t/d+400t/d系列)</w:t>
            </w:r>
          </w:p>
        </w:tc>
        <w:tc>
          <w:tcPr>
            <w:tcW w:w="1672" w:type="pct"/>
            <w:shd w:val="clear" w:color="auto" w:fill="BDD6EE" w:themeFill="accent1" w:themeFillTint="66"/>
            <w:vAlign w:val="center"/>
          </w:tcPr>
          <w:p w14:paraId="4108212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b/>
                <w:bCs/>
                <w:color w:val="000000" w:themeColor="text1"/>
                <w:spacing w:val="4"/>
                <w:position w:val="2"/>
                <w:sz w:val="24"/>
                <w:szCs w:val="24"/>
                <w14:textFill>
                  <w14:solidFill>
                    <w14:schemeClr w14:val="tx1"/>
                  </w14:solidFill>
                </w14:textFill>
              </w:rPr>
              <w:t>方案二(400t/d*3系列)</w:t>
            </w:r>
          </w:p>
        </w:tc>
      </w:tr>
      <w:tr w14:paraId="7BE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422" w:type="pct"/>
            <w:vAlign w:val="center"/>
          </w:tcPr>
          <w:p w14:paraId="0C18FAB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一次性投资</w:t>
            </w:r>
          </w:p>
        </w:tc>
        <w:tc>
          <w:tcPr>
            <w:tcW w:w="1904" w:type="pct"/>
            <w:vAlign w:val="center"/>
          </w:tcPr>
          <w:p w14:paraId="35577CB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低</w:t>
            </w:r>
          </w:p>
        </w:tc>
        <w:tc>
          <w:tcPr>
            <w:tcW w:w="1672" w:type="pct"/>
            <w:vAlign w:val="center"/>
          </w:tcPr>
          <w:p w14:paraId="7858A62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高</w:t>
            </w:r>
          </w:p>
        </w:tc>
      </w:tr>
      <w:tr w14:paraId="51E1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422" w:type="pct"/>
            <w:vAlign w:val="center"/>
          </w:tcPr>
          <w:p w14:paraId="12EA94F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处理费用</w:t>
            </w:r>
          </w:p>
        </w:tc>
        <w:tc>
          <w:tcPr>
            <w:tcW w:w="1904" w:type="pct"/>
            <w:vAlign w:val="center"/>
          </w:tcPr>
          <w:p w14:paraId="4C625A0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低</w:t>
            </w:r>
          </w:p>
        </w:tc>
        <w:tc>
          <w:tcPr>
            <w:tcW w:w="1672" w:type="pct"/>
            <w:vAlign w:val="center"/>
          </w:tcPr>
          <w:p w14:paraId="7425314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高</w:t>
            </w:r>
          </w:p>
        </w:tc>
      </w:tr>
      <w:tr w14:paraId="7258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422" w:type="pct"/>
            <w:vAlign w:val="center"/>
          </w:tcPr>
          <w:p w14:paraId="5590C6B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备用性</w:t>
            </w:r>
          </w:p>
        </w:tc>
        <w:tc>
          <w:tcPr>
            <w:tcW w:w="1904" w:type="pct"/>
            <w:vAlign w:val="center"/>
          </w:tcPr>
          <w:p w14:paraId="2E25133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良</w:t>
            </w:r>
          </w:p>
        </w:tc>
        <w:tc>
          <w:tcPr>
            <w:tcW w:w="1672" w:type="pct"/>
            <w:vAlign w:val="center"/>
          </w:tcPr>
          <w:p w14:paraId="5F5F9EB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好</w:t>
            </w:r>
          </w:p>
        </w:tc>
      </w:tr>
      <w:tr w14:paraId="62E4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422" w:type="pct"/>
            <w:vAlign w:val="center"/>
          </w:tcPr>
          <w:p w14:paraId="51305C6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人员配备</w:t>
            </w:r>
          </w:p>
        </w:tc>
        <w:tc>
          <w:tcPr>
            <w:tcW w:w="1904" w:type="pct"/>
            <w:vAlign w:val="center"/>
          </w:tcPr>
          <w:p w14:paraId="4756D67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少</w:t>
            </w:r>
          </w:p>
        </w:tc>
        <w:tc>
          <w:tcPr>
            <w:tcW w:w="1672" w:type="pct"/>
            <w:vAlign w:val="center"/>
          </w:tcPr>
          <w:p w14:paraId="696F037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多</w:t>
            </w:r>
          </w:p>
        </w:tc>
      </w:tr>
      <w:tr w14:paraId="5EA2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1422" w:type="pct"/>
            <w:vAlign w:val="center"/>
          </w:tcPr>
          <w:p w14:paraId="6884A49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占地面积</w:t>
            </w:r>
          </w:p>
        </w:tc>
        <w:tc>
          <w:tcPr>
            <w:tcW w:w="1904" w:type="pct"/>
            <w:vAlign w:val="center"/>
          </w:tcPr>
          <w:p w14:paraId="43AA33E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小</w:t>
            </w:r>
          </w:p>
        </w:tc>
        <w:tc>
          <w:tcPr>
            <w:tcW w:w="1672" w:type="pct"/>
            <w:vAlign w:val="center"/>
          </w:tcPr>
          <w:p w14:paraId="73960DF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大</w:t>
            </w:r>
          </w:p>
        </w:tc>
      </w:tr>
    </w:tbl>
    <w:p w14:paraId="2242C513">
      <w:pPr>
        <w:ind w:firstLine="548"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通过综合比较，从运行灵活性角度和二期扩建单台规模统一出发，优先选取</w:t>
      </w:r>
      <w:r>
        <w:rPr>
          <w:rFonts w:hint="eastAsia" w:ascii="仿宋" w:hAnsi="仿宋" w:cs="仿宋"/>
          <w:color w:val="000000" w:themeColor="text1"/>
          <w:spacing w:val="-1"/>
          <w:szCs w:val="28"/>
          <w14:textFill>
            <w14:solidFill>
              <w14:schemeClr w14:val="tx1"/>
            </w14:solidFill>
          </w14:textFill>
        </w:rPr>
        <w:t>方案二为推荐方案。选用单台处理能力400t/d的焚烧炉</w:t>
      </w:r>
      <w:r>
        <w:rPr>
          <w:rFonts w:hint="eastAsia" w:ascii="仿宋" w:hAnsi="仿宋" w:cs="仿宋"/>
          <w:color w:val="000000" w:themeColor="text1"/>
          <w:spacing w:val="-2"/>
          <w:szCs w:val="28"/>
          <w14:textFill>
            <w14:solidFill>
              <w14:schemeClr w14:val="tx1"/>
            </w14:solidFill>
          </w14:textFill>
        </w:rPr>
        <w:t>较为适宜，焚烧生产线数量为3条（一期2x400t/d+二期400t/d)。</w:t>
      </w:r>
    </w:p>
    <w:p w14:paraId="768F3E6B">
      <w:pPr>
        <w:pStyle w:val="8"/>
        <w:outlineLvl w:val="2"/>
        <w:rPr>
          <w:color w:val="000000" w:themeColor="text1"/>
          <w14:textFill>
            <w14:solidFill>
              <w14:schemeClr w14:val="tx1"/>
            </w14:solidFill>
          </w14:textFill>
        </w:rPr>
      </w:pPr>
      <w:bookmarkStart w:id="166" w:name="_Toc16436"/>
      <w:r>
        <w:rPr>
          <w:rFonts w:hint="eastAsia"/>
          <w:color w:val="000000" w:themeColor="text1"/>
          <w14:textFill>
            <w14:solidFill>
              <w14:schemeClr w14:val="tx1"/>
            </w14:solidFill>
          </w14:textFill>
        </w:rPr>
        <w:t>烟气净化技术方案</w:t>
      </w:r>
      <w:bookmarkEnd w:id="166"/>
    </w:p>
    <w:p w14:paraId="705A8AE0">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从打造清洁城市的需要出发，在可靠和稳定处理垃圾的同时，必须严格环保标准，降低污染物排放浓度。烟气排放指标达到《生活垃圾焚烧污染控制标准》（GB18485-2014）排放要求，最终以环评批复为主。</w:t>
      </w:r>
    </w:p>
    <w:p w14:paraId="5C8EA4E4">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烟气排放指标表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916"/>
        <w:gridCol w:w="1992"/>
        <w:gridCol w:w="1766"/>
        <w:gridCol w:w="1784"/>
      </w:tblGrid>
      <w:tr w14:paraId="7011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23" w:type="pct"/>
            <w:vMerge w:val="restart"/>
            <w:shd w:val="clear" w:color="auto" w:fill="BDD6EE" w:themeFill="accent1" w:themeFillTint="66"/>
            <w:vAlign w:val="center"/>
          </w:tcPr>
          <w:p w14:paraId="67589FDC">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序号</w:t>
            </w:r>
          </w:p>
        </w:tc>
        <w:tc>
          <w:tcPr>
            <w:tcW w:w="1124" w:type="pct"/>
            <w:vMerge w:val="restart"/>
            <w:shd w:val="clear" w:color="auto" w:fill="BDD6EE" w:themeFill="accent1" w:themeFillTint="66"/>
            <w:vAlign w:val="center"/>
          </w:tcPr>
          <w:p w14:paraId="4DF99D61">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污染物名称</w:t>
            </w:r>
          </w:p>
        </w:tc>
        <w:tc>
          <w:tcPr>
            <w:tcW w:w="1169" w:type="pct"/>
            <w:vMerge w:val="restart"/>
            <w:shd w:val="clear" w:color="auto" w:fill="BDD6EE" w:themeFill="accent1" w:themeFillTint="66"/>
            <w:vAlign w:val="center"/>
          </w:tcPr>
          <w:p w14:paraId="7C175FA3">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单位</w:t>
            </w:r>
          </w:p>
        </w:tc>
        <w:tc>
          <w:tcPr>
            <w:tcW w:w="2083" w:type="pct"/>
            <w:gridSpan w:val="2"/>
            <w:shd w:val="clear" w:color="auto" w:fill="BDD6EE" w:themeFill="accent1" w:themeFillTint="66"/>
            <w:vAlign w:val="center"/>
          </w:tcPr>
          <w:p w14:paraId="27BCE268">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国家标准</w:t>
            </w:r>
          </w:p>
          <w:p w14:paraId="144682BB">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GB18485–2014</w:t>
            </w:r>
          </w:p>
        </w:tc>
      </w:tr>
      <w:tr w14:paraId="1EFC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blHeader/>
        </w:trPr>
        <w:tc>
          <w:tcPr>
            <w:tcW w:w="623" w:type="pct"/>
            <w:vMerge w:val="continue"/>
            <w:shd w:val="clear" w:color="auto" w:fill="BDD6EE" w:themeFill="accent1" w:themeFillTint="66"/>
            <w:vAlign w:val="center"/>
          </w:tcPr>
          <w:p w14:paraId="7C23EFC5">
            <w:pPr>
              <w:keepNext w:val="0"/>
              <w:keepLines w:val="0"/>
              <w:widowControl/>
              <w:suppressLineNumbers w:val="0"/>
              <w:spacing w:before="0" w:beforeAutospacing="0" w:after="0" w:afterAutospacing="0" w:line="240" w:lineRule="auto"/>
              <w:ind w:left="0" w:right="0"/>
              <w:jc w:val="left"/>
              <w:rPr>
                <w:rFonts w:hint="eastAsia" w:ascii="仿宋" w:hAnsi="仿宋" w:cs="仿宋"/>
                <w:b/>
                <w:color w:val="000000" w:themeColor="text1"/>
                <w:sz w:val="24"/>
                <w:szCs w:val="24"/>
                <w14:textFill>
                  <w14:solidFill>
                    <w14:schemeClr w14:val="tx1"/>
                  </w14:solidFill>
                </w14:textFill>
              </w:rPr>
            </w:pPr>
          </w:p>
        </w:tc>
        <w:tc>
          <w:tcPr>
            <w:tcW w:w="1124" w:type="pct"/>
            <w:vMerge w:val="continue"/>
            <w:shd w:val="clear" w:color="auto" w:fill="BDD6EE" w:themeFill="accent1" w:themeFillTint="66"/>
            <w:vAlign w:val="center"/>
          </w:tcPr>
          <w:p w14:paraId="09B25121">
            <w:pPr>
              <w:keepNext w:val="0"/>
              <w:keepLines w:val="0"/>
              <w:widowControl/>
              <w:suppressLineNumbers w:val="0"/>
              <w:spacing w:before="0" w:beforeAutospacing="0" w:after="0" w:afterAutospacing="0" w:line="240" w:lineRule="auto"/>
              <w:ind w:left="0" w:right="0"/>
              <w:jc w:val="left"/>
              <w:rPr>
                <w:rFonts w:hint="eastAsia" w:ascii="仿宋" w:hAnsi="仿宋" w:cs="仿宋"/>
                <w:b/>
                <w:color w:val="000000" w:themeColor="text1"/>
                <w:sz w:val="24"/>
                <w:szCs w:val="24"/>
                <w14:textFill>
                  <w14:solidFill>
                    <w14:schemeClr w14:val="tx1"/>
                  </w14:solidFill>
                </w14:textFill>
              </w:rPr>
            </w:pPr>
          </w:p>
        </w:tc>
        <w:tc>
          <w:tcPr>
            <w:tcW w:w="1169" w:type="pct"/>
            <w:vMerge w:val="continue"/>
            <w:shd w:val="clear" w:color="auto" w:fill="BDD6EE" w:themeFill="accent1" w:themeFillTint="66"/>
            <w:vAlign w:val="center"/>
          </w:tcPr>
          <w:p w14:paraId="18DF1C82">
            <w:pPr>
              <w:keepNext w:val="0"/>
              <w:keepLines w:val="0"/>
              <w:widowControl/>
              <w:suppressLineNumbers w:val="0"/>
              <w:spacing w:before="0" w:beforeAutospacing="0" w:after="0" w:afterAutospacing="0" w:line="240" w:lineRule="auto"/>
              <w:ind w:left="0" w:right="0"/>
              <w:jc w:val="left"/>
              <w:rPr>
                <w:rFonts w:hint="eastAsia" w:ascii="仿宋" w:hAnsi="仿宋" w:cs="仿宋"/>
                <w:b/>
                <w:color w:val="000000" w:themeColor="text1"/>
                <w:sz w:val="24"/>
                <w:szCs w:val="24"/>
                <w14:textFill>
                  <w14:solidFill>
                    <w14:schemeClr w14:val="tx1"/>
                  </w14:solidFill>
                </w14:textFill>
              </w:rPr>
            </w:pPr>
          </w:p>
        </w:tc>
        <w:tc>
          <w:tcPr>
            <w:tcW w:w="1036" w:type="pct"/>
            <w:shd w:val="clear" w:color="auto" w:fill="BDD6EE" w:themeFill="accent1" w:themeFillTint="66"/>
            <w:vAlign w:val="center"/>
          </w:tcPr>
          <w:p w14:paraId="42555F93">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日平均</w:t>
            </w:r>
          </w:p>
        </w:tc>
        <w:tc>
          <w:tcPr>
            <w:tcW w:w="1046" w:type="pct"/>
            <w:shd w:val="clear" w:color="auto" w:fill="BDD6EE" w:themeFill="accent1" w:themeFillTint="66"/>
            <w:vAlign w:val="center"/>
          </w:tcPr>
          <w:p w14:paraId="604054A8">
            <w:pPr>
              <w:keepNext w:val="0"/>
              <w:keepLines w:val="0"/>
              <w:suppressLineNumbers w:val="0"/>
              <w:spacing w:before="0" w:beforeAutospacing="0" w:after="0" w:afterAutospacing="0" w:line="240" w:lineRule="auto"/>
              <w:ind w:left="0" w:right="0"/>
              <w:jc w:val="center"/>
              <w:rPr>
                <w:rFonts w:hint="eastAsia" w:ascii="仿宋" w:hAnsi="仿宋" w:cs="仿宋"/>
                <w:b/>
                <w:color w:val="000000" w:themeColor="text1"/>
                <w:sz w:val="24"/>
                <w:szCs w:val="24"/>
                <w14:textFill>
                  <w14:solidFill>
                    <w14:schemeClr w14:val="tx1"/>
                  </w14:solidFill>
                </w14:textFill>
              </w:rPr>
            </w:pPr>
            <w:r>
              <w:rPr>
                <w:rFonts w:hint="eastAsia" w:ascii="仿宋" w:hAnsi="仿宋" w:cs="仿宋"/>
                <w:b/>
                <w:color w:val="000000" w:themeColor="text1"/>
                <w:sz w:val="24"/>
                <w:szCs w:val="24"/>
                <w14:textFill>
                  <w14:solidFill>
                    <w14:schemeClr w14:val="tx1"/>
                  </w14:solidFill>
                </w14:textFill>
              </w:rPr>
              <w:t>小时平均</w:t>
            </w:r>
          </w:p>
        </w:tc>
      </w:tr>
      <w:tr w14:paraId="2E6B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5970FE4B">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1124" w:type="pct"/>
            <w:vAlign w:val="center"/>
          </w:tcPr>
          <w:p w14:paraId="5ED876A2">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烟尘</w:t>
            </w:r>
          </w:p>
        </w:tc>
        <w:tc>
          <w:tcPr>
            <w:tcW w:w="1169" w:type="pct"/>
            <w:vAlign w:val="center"/>
          </w:tcPr>
          <w:p w14:paraId="314C1A9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1036" w:type="pct"/>
            <w:vAlign w:val="center"/>
          </w:tcPr>
          <w:p w14:paraId="4FA3EDDD">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w:t>
            </w:r>
          </w:p>
        </w:tc>
        <w:tc>
          <w:tcPr>
            <w:tcW w:w="1046" w:type="pct"/>
            <w:vAlign w:val="center"/>
          </w:tcPr>
          <w:p w14:paraId="5EE9122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w:t>
            </w:r>
          </w:p>
        </w:tc>
      </w:tr>
      <w:tr w14:paraId="5A3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5B316977">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1124" w:type="pct"/>
            <w:vAlign w:val="center"/>
          </w:tcPr>
          <w:p w14:paraId="11A7F41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HCl</w:t>
            </w:r>
          </w:p>
        </w:tc>
        <w:tc>
          <w:tcPr>
            <w:tcW w:w="1169" w:type="pct"/>
            <w:vAlign w:val="center"/>
          </w:tcPr>
          <w:p w14:paraId="734AF0F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1036" w:type="pct"/>
            <w:vAlign w:val="center"/>
          </w:tcPr>
          <w:p w14:paraId="1D0BF852">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50</w:t>
            </w:r>
          </w:p>
        </w:tc>
        <w:tc>
          <w:tcPr>
            <w:tcW w:w="1046" w:type="pct"/>
            <w:vAlign w:val="center"/>
          </w:tcPr>
          <w:p w14:paraId="6F423688">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60</w:t>
            </w:r>
          </w:p>
        </w:tc>
      </w:tr>
      <w:tr w14:paraId="2B80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6E461ADE">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1124" w:type="pct"/>
            <w:vAlign w:val="center"/>
          </w:tcPr>
          <w:p w14:paraId="12819FB3">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SO</w:t>
            </w:r>
            <w:r>
              <w:rPr>
                <w:rFonts w:hint="eastAsia" w:ascii="仿宋" w:hAnsi="仿宋" w:cs="仿宋"/>
                <w:color w:val="000000" w:themeColor="text1"/>
                <w:sz w:val="24"/>
                <w:szCs w:val="24"/>
                <w:vertAlign w:val="subscript"/>
                <w14:textFill>
                  <w14:solidFill>
                    <w14:schemeClr w14:val="tx1"/>
                  </w14:solidFill>
                </w14:textFill>
              </w:rPr>
              <w:t>2</w:t>
            </w:r>
          </w:p>
        </w:tc>
        <w:tc>
          <w:tcPr>
            <w:tcW w:w="1169" w:type="pct"/>
            <w:vAlign w:val="center"/>
          </w:tcPr>
          <w:p w14:paraId="11D862FB">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1036" w:type="pct"/>
            <w:vAlign w:val="center"/>
          </w:tcPr>
          <w:p w14:paraId="3559FF9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80</w:t>
            </w:r>
          </w:p>
        </w:tc>
        <w:tc>
          <w:tcPr>
            <w:tcW w:w="1046" w:type="pct"/>
            <w:vAlign w:val="center"/>
          </w:tcPr>
          <w:p w14:paraId="58AE22F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100</w:t>
            </w:r>
          </w:p>
        </w:tc>
      </w:tr>
      <w:tr w14:paraId="7295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0DB9417A">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1124" w:type="pct"/>
            <w:vAlign w:val="center"/>
          </w:tcPr>
          <w:p w14:paraId="171199A0">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NOx</w:t>
            </w:r>
          </w:p>
        </w:tc>
        <w:tc>
          <w:tcPr>
            <w:tcW w:w="1169" w:type="pct"/>
            <w:vAlign w:val="center"/>
          </w:tcPr>
          <w:p w14:paraId="193F3A5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1036" w:type="pct"/>
            <w:vAlign w:val="center"/>
          </w:tcPr>
          <w:p w14:paraId="29AEADD8">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250</w:t>
            </w:r>
          </w:p>
        </w:tc>
        <w:tc>
          <w:tcPr>
            <w:tcW w:w="1046" w:type="pct"/>
            <w:vAlign w:val="center"/>
          </w:tcPr>
          <w:p w14:paraId="2D5009D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300</w:t>
            </w:r>
          </w:p>
        </w:tc>
      </w:tr>
      <w:tr w14:paraId="49DD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67E919D5">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p>
        </w:tc>
        <w:tc>
          <w:tcPr>
            <w:tcW w:w="1124" w:type="pct"/>
            <w:vAlign w:val="center"/>
          </w:tcPr>
          <w:p w14:paraId="7490F5F0">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CO</w:t>
            </w:r>
          </w:p>
        </w:tc>
        <w:tc>
          <w:tcPr>
            <w:tcW w:w="1169" w:type="pct"/>
            <w:vAlign w:val="center"/>
          </w:tcPr>
          <w:p w14:paraId="7837F829">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1036" w:type="pct"/>
            <w:vAlign w:val="center"/>
          </w:tcPr>
          <w:p w14:paraId="16384664">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80</w:t>
            </w:r>
          </w:p>
        </w:tc>
        <w:tc>
          <w:tcPr>
            <w:tcW w:w="1046" w:type="pct"/>
            <w:vAlign w:val="center"/>
          </w:tcPr>
          <w:p w14:paraId="07F129C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100</w:t>
            </w:r>
          </w:p>
        </w:tc>
      </w:tr>
      <w:tr w14:paraId="6B94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43DA381F">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p>
        </w:tc>
        <w:tc>
          <w:tcPr>
            <w:tcW w:w="1124" w:type="pct"/>
            <w:vAlign w:val="center"/>
          </w:tcPr>
          <w:p w14:paraId="25A7E11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Hg</w:t>
            </w:r>
          </w:p>
        </w:tc>
        <w:tc>
          <w:tcPr>
            <w:tcW w:w="1169" w:type="pct"/>
            <w:vAlign w:val="center"/>
          </w:tcPr>
          <w:p w14:paraId="347220EB">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2083" w:type="pct"/>
            <w:gridSpan w:val="2"/>
            <w:vAlign w:val="center"/>
          </w:tcPr>
          <w:p w14:paraId="1965A5C0">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0.05（测定均值）</w:t>
            </w:r>
          </w:p>
        </w:tc>
      </w:tr>
      <w:tr w14:paraId="5064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37B64500">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p>
        </w:tc>
        <w:tc>
          <w:tcPr>
            <w:tcW w:w="1124" w:type="pct"/>
            <w:vAlign w:val="center"/>
          </w:tcPr>
          <w:p w14:paraId="6681F2A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Cd+T1</w:t>
            </w:r>
          </w:p>
        </w:tc>
        <w:tc>
          <w:tcPr>
            <w:tcW w:w="1169" w:type="pct"/>
            <w:vAlign w:val="center"/>
          </w:tcPr>
          <w:p w14:paraId="2245FE54">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2083" w:type="pct"/>
            <w:gridSpan w:val="2"/>
            <w:vAlign w:val="center"/>
          </w:tcPr>
          <w:p w14:paraId="723AAF4F">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0.1（测定均值）</w:t>
            </w:r>
          </w:p>
        </w:tc>
      </w:tr>
      <w:tr w14:paraId="1761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3599079A">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w:t>
            </w:r>
          </w:p>
        </w:tc>
        <w:tc>
          <w:tcPr>
            <w:tcW w:w="1124" w:type="pct"/>
            <w:vAlign w:val="center"/>
          </w:tcPr>
          <w:p w14:paraId="4AC57051">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Pb+Cr等其它重金属</w:t>
            </w:r>
          </w:p>
        </w:tc>
        <w:tc>
          <w:tcPr>
            <w:tcW w:w="1169" w:type="pct"/>
            <w:vAlign w:val="center"/>
          </w:tcPr>
          <w:p w14:paraId="1372B74F">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mg/Nm</w:t>
            </w:r>
            <w:r>
              <w:rPr>
                <w:rFonts w:hint="eastAsia" w:ascii="仿宋" w:hAnsi="仿宋" w:cs="仿宋"/>
                <w:color w:val="000000" w:themeColor="text1"/>
                <w:sz w:val="24"/>
                <w:szCs w:val="24"/>
                <w:vertAlign w:val="superscript"/>
                <w14:textFill>
                  <w14:solidFill>
                    <w14:schemeClr w14:val="tx1"/>
                  </w14:solidFill>
                </w14:textFill>
              </w:rPr>
              <w:t>3</w:t>
            </w:r>
          </w:p>
        </w:tc>
        <w:tc>
          <w:tcPr>
            <w:tcW w:w="2083" w:type="pct"/>
            <w:gridSpan w:val="2"/>
            <w:vAlign w:val="center"/>
          </w:tcPr>
          <w:p w14:paraId="32EF0A0C">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1.0（测定均值）</w:t>
            </w:r>
          </w:p>
        </w:tc>
      </w:tr>
      <w:tr w14:paraId="2604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3" w:type="pct"/>
            <w:vAlign w:val="center"/>
          </w:tcPr>
          <w:p w14:paraId="07C5B91A">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9</w:t>
            </w:r>
          </w:p>
        </w:tc>
        <w:tc>
          <w:tcPr>
            <w:tcW w:w="1124" w:type="pct"/>
            <w:vAlign w:val="center"/>
          </w:tcPr>
          <w:p w14:paraId="475ADAA9">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二噁英类（TEQ）</w:t>
            </w:r>
          </w:p>
        </w:tc>
        <w:tc>
          <w:tcPr>
            <w:tcW w:w="1169" w:type="pct"/>
            <w:vAlign w:val="center"/>
          </w:tcPr>
          <w:p w14:paraId="0383526D">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ng-TEQ/Nm</w:t>
            </w:r>
            <w:r>
              <w:rPr>
                <w:rFonts w:hint="eastAsia" w:ascii="仿宋" w:hAnsi="仿宋" w:cs="仿宋"/>
                <w:color w:val="000000" w:themeColor="text1"/>
                <w:sz w:val="24"/>
                <w:szCs w:val="24"/>
                <w:vertAlign w:val="superscript"/>
                <w14:textFill>
                  <w14:solidFill>
                    <w14:schemeClr w14:val="tx1"/>
                  </w14:solidFill>
                </w14:textFill>
              </w:rPr>
              <w:t>3</w:t>
            </w:r>
          </w:p>
        </w:tc>
        <w:tc>
          <w:tcPr>
            <w:tcW w:w="2083" w:type="pct"/>
            <w:gridSpan w:val="2"/>
            <w:vAlign w:val="center"/>
          </w:tcPr>
          <w:p w14:paraId="5FFDC895">
            <w:pPr>
              <w:keepNext w:val="0"/>
              <w:keepLines w:val="0"/>
              <w:suppressLineNumbers w:val="0"/>
              <w:spacing w:before="0" w:beforeAutospacing="0" w:after="0" w:afterAutospacing="0" w:line="240" w:lineRule="auto"/>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0.1（测定均值）</w:t>
            </w:r>
          </w:p>
        </w:tc>
      </w:tr>
    </w:tbl>
    <w:p w14:paraId="249F651A">
      <w:pPr>
        <w:snapToGrid w:val="0"/>
        <w:spacing w:before="156" w:beforeLines="50"/>
        <w:jc w:val="left"/>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注：1）本表规定的各项标准限值，均以标准状态下含11%O</w:t>
      </w:r>
      <w:r>
        <w:rPr>
          <w:rFonts w:hint="eastAsia" w:ascii="仿宋" w:hAnsi="仿宋" w:cs="仿宋"/>
          <w:color w:val="000000" w:themeColor="text1"/>
          <w:sz w:val="24"/>
          <w:szCs w:val="24"/>
          <w:vertAlign w:val="subscript"/>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的干烟气为参考值换算。</w:t>
      </w:r>
    </w:p>
    <w:p w14:paraId="11F65696">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为了达到上述的排放标准，需要确定相应的烟气净化工艺，在通常情况下，烟气净化工艺主要针对酸性气体（HCl，HF，SOx）、NOx、颗粒物、有机物及重金属等进行控制，其工艺设备主要由几部分组成：即酸性气体脱除、颗粒物捕集、NOx的去除和有机物及重金属的去除工艺设备。</w:t>
      </w:r>
    </w:p>
    <w:p w14:paraId="32647E8D">
      <w:pPr>
        <w:pStyle w:val="70"/>
        <w:ind w:firstLine="56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本报告确定烟气净化工艺是以立足国情，适当超前，方便操作，技术成熟为指导思想。经过综合比较，推荐采用“SNCR+半干法（Ca(OH)2溶液）+干法（Ca(OH)2干粉）＋活性炭吸附＋袋式除尘”烟气净化工艺。</w:t>
      </w:r>
    </w:p>
    <w:p w14:paraId="5457BAB1">
      <w:pPr>
        <w:pStyle w:val="8"/>
        <w:outlineLvl w:val="2"/>
        <w:rPr>
          <w:color w:val="000000" w:themeColor="text1"/>
          <w14:textFill>
            <w14:solidFill>
              <w14:schemeClr w14:val="tx1"/>
            </w14:solidFill>
          </w14:textFill>
        </w:rPr>
      </w:pPr>
      <w:bookmarkStart w:id="167" w:name="_Toc3832"/>
      <w:r>
        <w:rPr>
          <w:rFonts w:hint="eastAsia"/>
          <w:color w:val="000000" w:themeColor="text1"/>
          <w14:textFill>
            <w14:solidFill>
              <w14:schemeClr w14:val="tx1"/>
            </w14:solidFill>
          </w14:textFill>
        </w:rPr>
        <w:t>灰渣和飞灰处理</w:t>
      </w:r>
      <w:bookmarkEnd w:id="167"/>
    </w:p>
    <w:p w14:paraId="44A1FF7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垃圾焚烧厂焚烧灰渣系统主要包括炉渣及飞灰两大部分，本项目对垃圾焚烧产生的炉渣和飞灰进行分别收集和处理。</w:t>
      </w:r>
    </w:p>
    <w:p w14:paraId="15D2C9B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本项目炉渣主要为垃圾燃烧后的残余物，其产生量视垃圾成分而定，本项目一期两台炉每日总共约184t左右(湿渣)，干炉渣为153.4t/d，其主要成分为MnO、SiO2、CaO、Al2O3、Fe2O3以及少量未燃烬的有机物、废金属等。</w:t>
      </w:r>
    </w:p>
    <w:p w14:paraId="5291DFA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的机械炉排焚烧炉，保证炉渣热灼减率≤5%。每台焚烧炉设置2台液压除渣机，垃圾焚烧后炉渣通过液压除渣机排出，送至炉渣贮坑，然后用渣斗起重机将炉渣装入运输车，炉渣运输至拟建静脉产业园区内的炉渣综合利用项目。条件不具备时候，送至包头市生活垃圾处理中心填埋处理。额定设计条件下，每台焚烧炉的湿炉渣产量为3833g/h，渣坑可存储约3.5日的炉渣量。</w:t>
      </w:r>
    </w:p>
    <w:p w14:paraId="2C20B64F">
      <w:pPr>
        <w:pStyle w:val="2"/>
        <w:rPr>
          <w:rFonts w:hint="eastAsia"/>
          <w:color w:val="000000" w:themeColor="text1"/>
          <w14:textFill>
            <w14:solidFill>
              <w14:schemeClr w14:val="tx1"/>
            </w14:solidFill>
          </w14:textFill>
        </w:rPr>
      </w:pPr>
    </w:p>
    <w:p w14:paraId="13720929"/>
    <w:p w14:paraId="413EDA65">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炉渣系统主要设备表</w:t>
      </w:r>
    </w:p>
    <w:tbl>
      <w:tblPr>
        <w:tblStyle w:val="25"/>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5"/>
        <w:gridCol w:w="2586"/>
        <w:gridCol w:w="2785"/>
        <w:gridCol w:w="1193"/>
        <w:gridCol w:w="1093"/>
      </w:tblGrid>
      <w:tr w14:paraId="4E571CF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tcPr>
          <w:p w14:paraId="234D39C6">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25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64AE15AD">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设备名称</w:t>
            </w:r>
          </w:p>
        </w:tc>
        <w:tc>
          <w:tcPr>
            <w:tcW w:w="27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05828942">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型号及规格</w:t>
            </w:r>
          </w:p>
        </w:tc>
        <w:tc>
          <w:tcPr>
            <w:tcW w:w="119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7BD862AB">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数量（套）</w:t>
            </w:r>
          </w:p>
        </w:tc>
        <w:tc>
          <w:tcPr>
            <w:tcW w:w="109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374E3514">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备注</w:t>
            </w:r>
          </w:p>
        </w:tc>
      </w:tr>
      <w:tr w14:paraId="73F25B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E8A90">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6B2EC">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余热锅炉振打清灰装置</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ABDE9">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机械振打清灰器</w:t>
            </w: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453A1">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94C57">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r>
      <w:tr w14:paraId="6AE34F4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B08F0">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2C085">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旋转排灰阀</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08649">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C5B70">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16</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CA503">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r>
      <w:tr w14:paraId="2B0B471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68721">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AD986">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刮板输送机</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7D009">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1.5t/h</w:t>
            </w: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4A164">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0550A">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r>
      <w:tr w14:paraId="26F7357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1EFE6">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D4882">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湿式刮板输送机</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38A06">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0.1t/h；</w:t>
            </w:r>
          </w:p>
          <w:p w14:paraId="0633107A">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N=2.2kW</w:t>
            </w: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BDB61">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C07E2">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r>
      <w:tr w14:paraId="2C46962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A8080">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094C8">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液压驱动排渣机</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86DE2">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12t/h</w:t>
            </w: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C5DE8">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B48DA">
            <w:pPr>
              <w:keepNext w:val="0"/>
              <w:keepLines w:val="0"/>
              <w:suppressLineNumbers w:val="0"/>
              <w:spacing w:before="0" w:beforeAutospacing="0" w:after="0" w:afterAutospacing="0"/>
              <w:ind w:left="0" w:right="0" w:firstLine="480"/>
              <w:jc w:val="center"/>
              <w:rPr>
                <w:rFonts w:hint="eastAsia" w:ascii="仿宋" w:hAnsi="仿宋" w:cs="仿宋"/>
                <w:color w:val="000000" w:themeColor="text1"/>
                <w:sz w:val="24"/>
                <w:szCs w:val="24"/>
                <w14:textFill>
                  <w14:solidFill>
                    <w14:schemeClr w14:val="tx1"/>
                  </w14:solidFill>
                </w14:textFill>
              </w:rPr>
            </w:pPr>
          </w:p>
        </w:tc>
      </w:tr>
      <w:tr w14:paraId="20F066C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C4B63">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p>
        </w:tc>
        <w:tc>
          <w:tcPr>
            <w:tcW w:w="2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4E54A">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炉渣抓斗起重机</w:t>
            </w:r>
          </w:p>
        </w:tc>
        <w:tc>
          <w:tcPr>
            <w:tcW w:w="27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D16F0">
            <w:pPr>
              <w:keepNext w:val="0"/>
              <w:keepLines w:val="0"/>
              <w:suppressLineNumbers w:val="0"/>
              <w:autoSpaceDE w:val="0"/>
              <w:autoSpaceDN w:val="0"/>
              <w:adjustRightInd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起重量：8t</w:t>
            </w:r>
          </w:p>
          <w:p w14:paraId="4DA59A80">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抓斗容量：3m</w:t>
            </w:r>
            <w:r>
              <w:rPr>
                <w:rFonts w:hint="eastAsia" w:ascii="仿宋" w:hAnsi="仿宋" w:cs="仿宋"/>
                <w:color w:val="000000" w:themeColor="text1"/>
                <w:sz w:val="24"/>
                <w:szCs w:val="24"/>
                <w:vertAlign w:val="superscript"/>
                <w14:textFill>
                  <w14:solidFill>
                    <w14:schemeClr w14:val="tx1"/>
                  </w14:solidFill>
                </w14:textFill>
              </w:rPr>
              <w:t>3</w:t>
            </w:r>
          </w:p>
          <w:p w14:paraId="65250BDF">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提升装置N=110kW</w:t>
            </w:r>
          </w:p>
        </w:tc>
        <w:tc>
          <w:tcPr>
            <w:tcW w:w="11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54F04">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52099">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p>
        </w:tc>
      </w:tr>
    </w:tbl>
    <w:p w14:paraId="41A28D1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飞灰指烟气净化系统收集的粉尘，因其成份复杂且含有较高浸出浓度的铅(Pb)和镉(Cd)等重金属和其它毒性物质如二噁英等，飞灰的处理一直是困扰垃圾焚烧厂的一大难题。</w:t>
      </w:r>
    </w:p>
    <w:p w14:paraId="140AC3A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飞灰的成份受多重因素的影响，其变化范围也较大。其主要成分为CaCl2、CaSO3、SiO2、CaO、Al2O3、Fe2O3等，另外还有少量的Hg、Pb、Cr、Ge、Mn、Zn、Mg等重金属和微量的二噁英等有毒有机物。飞灰直接填埋，经雨水浸透等作用，易溶性有害成分有浸入地下水层的危险。《国家危险废物名录》把固体废物焚烧飞灰列为危险废物编号HW18，依据其毒性必须纳入危险废物管理范畴，在对其进行最终处置之前必须先经过稳定化处理。</w:t>
      </w:r>
    </w:p>
    <w:p w14:paraId="7C00CEE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危险废物固化/稳定化处理的目的，是使危险废物中的所有污染组分呈现化学惰性或被包容起来，以便运输和处置。飞灰的固化/稳定化技术，主要有水泥固化法、熔融固化法、化学药剂稳定化处理法等。</w:t>
      </w:r>
    </w:p>
    <w:p w14:paraId="460D9F8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◆水泥固化法</w:t>
      </w:r>
    </w:p>
    <w:p w14:paraId="13AEA9F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水泥是目前常用的一种主要固化基材，水泥</w:t>
      </w:r>
    </w:p>
    <w:p w14:paraId="2EBBE02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作为结构材料使用已有近百年的历史。水泥固化技术是将飞灰、水和水泥混合形成固态，经水化反应后形成坚硬的水泥固化体，从而达到降低飞灰中危险成分浸出的目的，其基本原理在于通过固化包容减少飞灰的表面积和降低其可渗透性。</w:t>
      </w:r>
    </w:p>
    <w:p w14:paraId="7892BCB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水泥固化过程中，水泥中的硅酸二钙、硅酸三钙等经水合反应转变为CaO·SiO2·mH2O凝胶和Ca(OH)2·CaO·SiO2·mH2O凝胶等，包容飞灰后逐步硬化形成机械强度很高的CaO·SiO2稳定化体。而Ca(OH)2的存在，固化体不但具有较高的pH值，而且使大部分重金属离子生成不溶性的氢氧化物或碳酸盐形式被固定在水泥基体的晶格中，有效防止重金属浸出，从而达到稳定化、无害化的目的。</w:t>
      </w:r>
    </w:p>
    <w:p w14:paraId="305F7B9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采用水泥作主要固化材料的优点是：水泥价廉，有应用经验，技术成熟，处理成本低，工艺和设备比较简单。其流程如下：</w:t>
      </w:r>
    </w:p>
    <w:p w14:paraId="5A1472DE">
      <w:pPr>
        <w:adjustRightInd w:val="0"/>
        <w:snapToGrid w:val="0"/>
        <w:ind w:firstLine="56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10000" cy="1524000"/>
            <wp:effectExtent l="0" t="0" r="0" b="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24"/>
                    <a:srcRect r="21014" b="1244"/>
                    <a:stretch>
                      <a:fillRect/>
                    </a:stretch>
                  </pic:blipFill>
                  <pic:spPr>
                    <a:xfrm>
                      <a:off x="0" y="0"/>
                      <a:ext cx="3810000" cy="1524000"/>
                    </a:xfrm>
                    <a:prstGeom prst="rect">
                      <a:avLst/>
                    </a:prstGeom>
                    <a:noFill/>
                    <a:ln>
                      <a:noFill/>
                    </a:ln>
                  </pic:spPr>
                </pic:pic>
              </a:graphicData>
            </a:graphic>
          </wp:inline>
        </w:drawing>
      </w:r>
    </w:p>
    <w:p w14:paraId="5D879EE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◆熔融固化法</w:t>
      </w:r>
    </w:p>
    <w:p w14:paraId="36E76E6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也称之为玻璃化技术。该技术是将待处理的飞灰放入各种高温熔融炉中，进行高温熔融处理，使其生成玻璃状硅酸盐形态，将易溶性成份包在其中，使其溶解不出来。流程如下：</w:t>
      </w:r>
    </w:p>
    <w:p w14:paraId="6783AD53">
      <w:pPr>
        <w:adjustRightInd w:val="0"/>
        <w:snapToGrid w:val="0"/>
        <w:ind w:firstLine="420" w:firstLineChars="15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38700" cy="1460500"/>
            <wp:effectExtent l="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5"/>
                    <a:stretch>
                      <a:fillRect/>
                    </a:stretch>
                  </pic:blipFill>
                  <pic:spPr>
                    <a:xfrm>
                      <a:off x="0" y="0"/>
                      <a:ext cx="4838700" cy="1460500"/>
                    </a:xfrm>
                    <a:prstGeom prst="rect">
                      <a:avLst/>
                    </a:prstGeom>
                    <a:noFill/>
                    <a:ln>
                      <a:noFill/>
                    </a:ln>
                  </pic:spPr>
                </pic:pic>
              </a:graphicData>
            </a:graphic>
          </wp:inline>
        </w:drawing>
      </w:r>
    </w:p>
    <w:p w14:paraId="419D3AA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◆化学药剂处理</w:t>
      </w:r>
    </w:p>
    <w:p w14:paraId="47E0931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药剂稳定化是利用化学药剂通过化学反应使有毒有害物质转变为低溶解性、低迁移性及低毒性物质的过程。将飞灰同带有络合基的不溶性处理剂进行混合，飞灰中易溶性金属(Cd，Pb等)同处理剂中的络合基反应后形成安定性络合物，进而固定在飞灰中，以此达到大大降低飞灰中有害成分浸出的可能性。流程如下：</w:t>
      </w:r>
    </w:p>
    <w:p w14:paraId="0D7741C2">
      <w:pPr>
        <w:pStyle w:val="7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81500" cy="1358900"/>
            <wp:effectExtent l="0" t="0" r="0" b="0"/>
            <wp:docPr id="1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0"/>
                    <pic:cNvPicPr>
                      <a:picLocks noChangeAspect="1"/>
                    </pic:cNvPicPr>
                  </pic:nvPicPr>
                  <pic:blipFill>
                    <a:blip r:embed="rId26"/>
                    <a:srcRect r="7971" b="4578"/>
                    <a:stretch>
                      <a:fillRect/>
                    </a:stretch>
                  </pic:blipFill>
                  <pic:spPr>
                    <a:xfrm>
                      <a:off x="0" y="0"/>
                      <a:ext cx="4381500" cy="1358900"/>
                    </a:xfrm>
                    <a:prstGeom prst="rect">
                      <a:avLst/>
                    </a:prstGeom>
                    <a:noFill/>
                    <a:ln>
                      <a:noFill/>
                    </a:ln>
                  </pic:spPr>
                </pic:pic>
              </a:graphicData>
            </a:graphic>
          </wp:inline>
        </w:drawing>
      </w:r>
    </w:p>
    <w:p w14:paraId="33225AA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以上几种飞灰固化/稳定化技术的比较见下表：</w:t>
      </w:r>
    </w:p>
    <w:p w14:paraId="47FBEAAB">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各种固化/稳定化技术的适用对象和优缺点</w:t>
      </w:r>
    </w:p>
    <w:tbl>
      <w:tblPr>
        <w:tblStyle w:val="25"/>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0"/>
        <w:gridCol w:w="1310"/>
        <w:gridCol w:w="3366"/>
        <w:gridCol w:w="2816"/>
      </w:tblGrid>
      <w:tr w14:paraId="1559A0E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trPr>
        <w:tc>
          <w:tcPr>
            <w:tcW w:w="1030" w:type="dxa"/>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tcPr>
          <w:p w14:paraId="26667897">
            <w:pPr>
              <w:pStyle w:val="75"/>
              <w:keepNext w:val="0"/>
              <w:keepLines w:val="0"/>
              <w:widowControl/>
              <w:suppressLineNumbers w:val="0"/>
              <w:spacing w:before="0" w:beforeAutospacing="0" w:after="0" w:afterAutospacing="0"/>
              <w:ind w:left="0" w:right="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技术</w:t>
            </w:r>
          </w:p>
        </w:tc>
        <w:tc>
          <w:tcPr>
            <w:tcW w:w="13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442D03DC">
            <w:pPr>
              <w:pStyle w:val="75"/>
              <w:keepNext w:val="0"/>
              <w:keepLines w:val="0"/>
              <w:widowControl/>
              <w:suppressLineNumbers w:val="0"/>
              <w:spacing w:before="0" w:beforeAutospacing="0" w:after="0" w:afterAutospacing="0"/>
              <w:ind w:left="0" w:right="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适用对象</w:t>
            </w:r>
          </w:p>
        </w:tc>
        <w:tc>
          <w:tcPr>
            <w:tcW w:w="336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0DF9E1F2">
            <w:pPr>
              <w:pStyle w:val="75"/>
              <w:keepNext w:val="0"/>
              <w:keepLines w:val="0"/>
              <w:widowControl/>
              <w:suppressLineNumbers w:val="0"/>
              <w:spacing w:before="0" w:beforeAutospacing="0" w:after="0" w:afterAutospacing="0"/>
              <w:ind w:left="0" w:right="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优点</w:t>
            </w:r>
          </w:p>
        </w:tc>
        <w:tc>
          <w:tcPr>
            <w:tcW w:w="281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465DBE48">
            <w:pPr>
              <w:pStyle w:val="75"/>
              <w:keepNext w:val="0"/>
              <w:keepLines w:val="0"/>
              <w:widowControl/>
              <w:suppressLineNumbers w:val="0"/>
              <w:spacing w:before="0" w:beforeAutospacing="0" w:after="0" w:afterAutospacing="0"/>
              <w:ind w:left="0" w:right="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缺点</w:t>
            </w:r>
          </w:p>
        </w:tc>
      </w:tr>
      <w:tr w14:paraId="56126E2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454" w:hRule="atLeast"/>
        </w:trPr>
        <w:tc>
          <w:tcPr>
            <w:tcW w:w="10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F9CF5">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水泥固化法</w:t>
            </w:r>
          </w:p>
        </w:tc>
        <w:tc>
          <w:tcPr>
            <w:tcW w:w="1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53C51">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重金属，氧化物，废酸</w:t>
            </w:r>
          </w:p>
        </w:tc>
        <w:tc>
          <w:tcPr>
            <w:tcW w:w="33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7DD0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水泥搅拌，处理技术已相当成熟。</w:t>
            </w:r>
          </w:p>
          <w:p w14:paraId="2747E54F">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对废物中化学性质的变动具有相当的承受力。</w:t>
            </w:r>
          </w:p>
          <w:p w14:paraId="0C34DA46">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可由水泥与废物的比例来控制固化体的结构缺点与不透水性。</w:t>
            </w:r>
          </w:p>
          <w:p w14:paraId="62A66959">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无需特殊的设备，处理成本低。</w:t>
            </w:r>
          </w:p>
          <w:p w14:paraId="252464D5">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废物可直接处理，无需前处理。</w:t>
            </w:r>
          </w:p>
        </w:tc>
        <w:tc>
          <w:tcPr>
            <w:tcW w:w="2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D0FA2">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废物中若含有特殊的盐类，会造成固化体破裂。</w:t>
            </w:r>
          </w:p>
          <w:p w14:paraId="418D5B92">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有机物的分解造成裂隙，增加渗透性，降低结构强度。</w:t>
            </w:r>
          </w:p>
          <w:p w14:paraId="66FEBFD6">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大量水泥的使用增加固化体的体积和质量。</w:t>
            </w:r>
          </w:p>
        </w:tc>
      </w:tr>
      <w:tr w14:paraId="09584F7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454" w:hRule="atLeast"/>
        </w:trPr>
        <w:tc>
          <w:tcPr>
            <w:tcW w:w="10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7A55B">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熔融固化法</w:t>
            </w:r>
          </w:p>
        </w:tc>
        <w:tc>
          <w:tcPr>
            <w:tcW w:w="1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F64D5">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不挥发的高危害性废物，核能废料</w:t>
            </w:r>
          </w:p>
        </w:tc>
        <w:tc>
          <w:tcPr>
            <w:tcW w:w="33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C11DF">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玻璃体的高稳定性，可确保固化体的长期稳定。</w:t>
            </w:r>
          </w:p>
          <w:p w14:paraId="3E8697B1">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可利用废玻璃屑作为固化材料。</w:t>
            </w:r>
          </w:p>
          <w:p w14:paraId="4C76288F">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对核能废料的处理已有相当成功的技术。</w:t>
            </w:r>
          </w:p>
        </w:tc>
        <w:tc>
          <w:tcPr>
            <w:tcW w:w="2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EC5D2">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一次性投资费用高。</w:t>
            </w:r>
          </w:p>
          <w:p w14:paraId="27F7FB42">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高温热融需消耗大量能源，运营成本较高。</w:t>
            </w:r>
          </w:p>
          <w:p w14:paraId="6F6ED117">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需要特殊的设备及专业人员。</w:t>
            </w:r>
          </w:p>
        </w:tc>
      </w:tr>
      <w:tr w14:paraId="72F186D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cantSplit/>
          <w:trHeight w:val="454" w:hRule="atLeast"/>
        </w:trPr>
        <w:tc>
          <w:tcPr>
            <w:tcW w:w="10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CBE6E">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化学药剂稳定化</w:t>
            </w:r>
          </w:p>
        </w:tc>
        <w:tc>
          <w:tcPr>
            <w:tcW w:w="13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38A8">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对重金属稳定效果好</w:t>
            </w:r>
          </w:p>
        </w:tc>
        <w:tc>
          <w:tcPr>
            <w:tcW w:w="33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475C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不会产生重金属溶出现象，稳定性较好。</w:t>
            </w:r>
          </w:p>
          <w:p w14:paraId="6037FB1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设备简单，较便于管理。</w:t>
            </w:r>
          </w:p>
          <w:p w14:paraId="5EA93F81">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减容性好。</w:t>
            </w:r>
          </w:p>
        </w:tc>
        <w:tc>
          <w:tcPr>
            <w:tcW w:w="2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62C01">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飞灰中毒性成份复杂，对部分有毒有机物稳定作用较小。</w:t>
            </w:r>
          </w:p>
          <w:p w14:paraId="0802EAAC">
            <w:pPr>
              <w:pStyle w:val="75"/>
              <w:keepNext w:val="0"/>
              <w:keepLines w:val="0"/>
              <w:widowControl/>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化学药剂稳定价格高。</w:t>
            </w:r>
          </w:p>
        </w:tc>
      </w:tr>
    </w:tbl>
    <w:p w14:paraId="1E5F793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从以上比较可以看出，水泥固化法简单实用，投资及运营费用低，但对毒性的稳定效果较差，大量水泥的使用增加固化体的体积和质量，与垃圾处理的宗旨—减量化、资源化、无害化不很相符；熔融固化法投资费用过高；化学药剂稳定化处理方法投资和运营费用适中。近年来对重金属螯合剂的开发，为垃圾焚烧飞灰的处理技术开辟了新的领域，对稳定化效果有了极大的提高，对整个危险废物处理处置系统的安全性产生了深远的影响。稳定化药剂处理危险废物的技术首先在日本得到开发，并已有实际应用，螯合效果较好，相比水泥固化增容较少，故采用化学药剂稳定化工艺。</w:t>
      </w:r>
    </w:p>
    <w:p w14:paraId="4FBB24A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化学药剂处理工艺包括飞灰储存和输送、化学药剂的配制、物料的配料、螯合和养护等工序，其主要过程如下：烟气净化产生的飞灰通过斗式提升机输送至飞灰仓。厂房内设有化学药剂罐、药剂注入泵、水槽和水泵。飞灰和配置好的药剂按设定比例计量后送至混炼机，并按比例均匀加入水混合、搅拌。化学药剂和加湿水的添加率分别约为飞灰重量的3％和20％。为了使稳定化后的飞灰达到足够的强度，防止重金属类的溶出，混合后的物料通过养护输送机进行养护，并输送至飞灰坑进行储存。</w:t>
      </w:r>
    </w:p>
    <w:p w14:paraId="597AE2E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稳定化后的飞灰满足《危险废物鉴别标准—浸出毒性鉴别》（GB5085.3-2007）的浸出毒性标准要求，通过炉渣起重机定期装入专用运输车，送往包头市生活垃圾处理中心填埋处理。最终以环境影响评价报告中对应结论为准。</w:t>
      </w:r>
    </w:p>
    <w:p w14:paraId="5A60956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飞灰的输送在密闭设备中进行，物料储存和输送设备均设有通风除尘设施。飞灰稳定化系统的所有设备可通过就地控制盘自动连续运行，主要运行信号送至DCS系统，同时每个设备也可以分别就地手动操作。</w:t>
      </w:r>
    </w:p>
    <w:p w14:paraId="464FB10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飞灰稳定化系统每天工作8小时，每年运行时间大于330天。本项目产生飞灰经过稳定化及养护后运往填埋场进行无害化填埋处理。</w:t>
      </w:r>
    </w:p>
    <w:p w14:paraId="7A477757">
      <w:pPr>
        <w:pStyle w:val="8"/>
        <w:outlineLvl w:val="2"/>
        <w:rPr>
          <w:color w:val="000000" w:themeColor="text1"/>
          <w14:textFill>
            <w14:solidFill>
              <w14:schemeClr w14:val="tx1"/>
            </w14:solidFill>
          </w14:textFill>
        </w:rPr>
      </w:pPr>
      <w:bookmarkStart w:id="168" w:name="_Toc5861"/>
      <w:r>
        <w:rPr>
          <w:rFonts w:hint="eastAsia"/>
          <w:color w:val="000000" w:themeColor="text1"/>
          <w14:textFill>
            <w14:solidFill>
              <w14:schemeClr w14:val="tx1"/>
            </w14:solidFill>
          </w14:textFill>
        </w:rPr>
        <w:t>余热锅炉技术方案论证</w:t>
      </w:r>
      <w:bookmarkEnd w:id="168"/>
    </w:p>
    <w:p w14:paraId="22BA32F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在垃圾焚烧热能回收过程中，由于垃圾所含盐分、塑料成分较高，燃烧气体产物中含有大量的氯化氢等腐蚀性气体和灰分，因此选择合适的过热蒸汽参数对全厂发电效率和过热器寿命都有着重要的意义。</w:t>
      </w:r>
    </w:p>
    <w:p w14:paraId="5C4269B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目前垃圾焚烧余热锅炉出口过热蒸汽通常采用中温中压参数（4.0MPa，400℃)和中温次高压参数（6.4MPa，450℃)。</w:t>
      </w:r>
    </w:p>
    <w:p w14:paraId="7ADED44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两者蒸汽区别主要在于：</w:t>
      </w:r>
    </w:p>
    <w:p w14:paraId="51832546">
      <w:pPr>
        <w:numPr>
          <w:ilvl w:val="0"/>
          <w:numId w:val="38"/>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设备投资</w:t>
      </w:r>
    </w:p>
    <w:p w14:paraId="2F39DB2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由于主蒸汽的压力提高到6.4MPa，余热锅炉受压面管道需要加厚；由于温度的提高了50℃,过热器受热面积需增加。因此余热锅炉的质量会增加30%左右。</w:t>
      </w:r>
    </w:p>
    <w:p w14:paraId="59993026">
      <w:pPr>
        <w:numPr>
          <w:ilvl w:val="0"/>
          <w:numId w:val="38"/>
        </w:numPr>
        <w:rPr>
          <w:color w:val="000000" w:themeColor="text1"/>
          <w14:textFill>
            <w14:solidFill>
              <w14:schemeClr w14:val="tx1"/>
            </w14:solidFill>
          </w14:textFill>
        </w:rPr>
      </w:pPr>
      <w:r>
        <w:rPr>
          <w:rFonts w:hint="eastAsia"/>
          <w:color w:val="000000" w:themeColor="text1"/>
          <w14:textFill>
            <w14:solidFill>
              <w14:schemeClr w14:val="tx1"/>
            </w14:solidFill>
          </w14:textFill>
        </w:rPr>
        <w:t>维修成本</w:t>
      </w:r>
    </w:p>
    <w:p w14:paraId="64D8F87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于过热器的温度提高，过热器的防腐蚀等级需要提升，因此过热器的材质需要提升。对于同一种过热器材质，采用中温中压参数的锅炉过热器使用寿命相对较长且成本较低；而次高压参数的锅炉过热器需使用耐腐蚀的合金钢才能达到合理的使用寿命和性能，而该合金钢价格昂贵，造成锅炉成本的大幅增加。若采用碳钢或不锈钢的话，过热器腐蚀较快，只能维持1～3年，将造成过热器的频繁更换，加大维修和维护的工作量，无法确保焚烧厂稳定的运行。因此，采用高参数将导致更大的维修成本。</w:t>
      </w:r>
    </w:p>
    <w:p w14:paraId="72C2000B">
      <w:pPr>
        <w:numPr>
          <w:ilvl w:val="0"/>
          <w:numId w:val="38"/>
        </w:numPr>
        <w:rPr>
          <w:color w:val="000000" w:themeColor="text1"/>
          <w14:textFill>
            <w14:solidFill>
              <w14:schemeClr w14:val="tx1"/>
            </w14:solidFill>
          </w14:textFill>
        </w:rPr>
      </w:pPr>
      <w:r>
        <w:rPr>
          <w:rFonts w:hint="eastAsia"/>
          <w:color w:val="000000" w:themeColor="text1"/>
          <w14:textFill>
            <w14:solidFill>
              <w14:schemeClr w14:val="tx1"/>
            </w14:solidFill>
          </w14:textFill>
        </w:rPr>
        <w:t>发电收益</w:t>
      </w:r>
    </w:p>
    <w:p w14:paraId="1788930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采用中温次高压参数余热锅炉的发电效率高（一般全厂热效率可达到22%以上），而中温中压参数的全厂热效率仅有21%左右，因此采用中温次高压参数可以产生更多的发电量和售电量，保守估算比中温中压参数高约3~5%左右，且该效益随着垃圾热值的提高愈加明显。针对本项目6908kJ/kg的设计热值，采用高参数的发电收益较为明显。</w:t>
      </w:r>
    </w:p>
    <w:p w14:paraId="6D7CE561">
      <w:pPr>
        <w:numPr>
          <w:ilvl w:val="0"/>
          <w:numId w:val="38"/>
        </w:numPr>
        <w:rPr>
          <w:color w:val="000000" w:themeColor="text1"/>
          <w14:textFill>
            <w14:solidFill>
              <w14:schemeClr w14:val="tx1"/>
            </w14:solidFill>
          </w14:textFill>
        </w:rPr>
      </w:pPr>
      <w:r>
        <w:rPr>
          <w:rFonts w:hint="eastAsia"/>
          <w:color w:val="000000" w:themeColor="text1"/>
          <w14:textFill>
            <w14:solidFill>
              <w14:schemeClr w14:val="tx1"/>
            </w14:solidFill>
          </w14:textFill>
        </w:rPr>
        <w:t>国内应用业绩</w:t>
      </w:r>
    </w:p>
    <w:p w14:paraId="6B78ADC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鉴于国内城市生活垃圾特性和复杂性，垃圾处理项目以完成生活垃圾的无害化处理为首要任务，发电供热只是辅助，为保证安全可靠及连续处理，国内已经运行的垃圾焚烧发电厂中，绝大部分项目采用中温中压参数。</w:t>
      </w:r>
    </w:p>
    <w:p w14:paraId="0FAF88B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但随着垃圾发电行业的发展，焚烧发电处理技术越发成熟、可靠，各个运行商对垃圾电厂的运营及建设水平逐渐提高。另一方面，随着垃圾分类的逐渐推广，垃圾的成分复杂性降低，热值稳定提升，也为采用高参数提供了便利条件。</w:t>
      </w:r>
    </w:p>
    <w:p w14:paraId="5C1D34E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采用次高压参数、已投产的项目有广州市李坑、河北廊坊、湖北黄石、广东博罗项目等，经过几年运行调整，运行效果逐渐改善。垃圾焚烧行业内在以上项目的基础上摸索发展，研发了高参数锅炉防腐措施，采用先进的堆焊技术，在受热面表面堆焊一层抗腐蚀的INCONEL625材料，使用寿命可达5年以上。</w:t>
      </w:r>
    </w:p>
    <w:p w14:paraId="6782E93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此防腐方案在国内外使用广泛。此外采用高参数的发电收益远大于中参数发电收益，增加的投资却相对较少。</w:t>
      </w:r>
    </w:p>
    <w:p w14:paraId="2438D8E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综合以上分析，本工程推荐选用中温次高压参数（6.4MPa、450℃)。</w:t>
      </w:r>
    </w:p>
    <w:p w14:paraId="33E55F5F">
      <w:pPr>
        <w:pStyle w:val="8"/>
        <w:outlineLvl w:val="2"/>
        <w:rPr>
          <w:color w:val="000000" w:themeColor="text1"/>
          <w14:textFill>
            <w14:solidFill>
              <w14:schemeClr w14:val="tx1"/>
            </w14:solidFill>
          </w14:textFill>
        </w:rPr>
      </w:pPr>
      <w:bookmarkStart w:id="169" w:name="_Toc16035"/>
      <w:r>
        <w:rPr>
          <w:rFonts w:hint="eastAsia"/>
          <w:color w:val="000000" w:themeColor="text1"/>
          <w14:textFill>
            <w14:solidFill>
              <w14:schemeClr w14:val="tx1"/>
            </w14:solidFill>
          </w14:textFill>
        </w:rPr>
        <w:t>汽轮发电机组技术论证</w:t>
      </w:r>
      <w:bookmarkEnd w:id="169"/>
    </w:p>
    <w:p w14:paraId="0188905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生活垃圾焚烧处理工程技术规范》（CJJ90-2009）：“汽轮发电机组型式的选用，应根据利用垃圾热能发电或热电联产的条件确定。汽轮发电机组的数量不宜大于2套；机组年运行时数应与垃圾焚烧炉相匹配”。</w:t>
      </w:r>
    </w:p>
    <w:p w14:paraId="6F16F2E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垃圾焚烧发电厂的焚烧处理规模800吨/日，装有两台焚烧炉，单台日处理垃圾400吨。本垃圾焚烧发电厂设计工况的垃圾低位热值为6908kJ/kg（1650kcal/kg），并按6.4MPa，450℃的蒸汽与130℃给水温度计算，全厂产汽量2×34=68t/h，额定工况发电功率14.6MW。考虑焚烧炉超负荷10％的运行工况，并按汽轮机经济负荷运行考虑，本工程一期拟采用1台18MW凝汽式汽轮发电机组。</w:t>
      </w:r>
    </w:p>
    <w:p w14:paraId="5E70C3A8">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2245" cy="3746500"/>
            <wp:effectExtent l="0" t="0" r="14605" b="6350"/>
            <wp:docPr id="13" name="图片 13" descr="附图14-21焚烧系统图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图14-21焚烧系统图纸_01"/>
                    <pic:cNvPicPr>
                      <a:picLocks noChangeAspect="1"/>
                    </pic:cNvPicPr>
                  </pic:nvPicPr>
                  <pic:blipFill>
                    <a:blip r:embed="rId27"/>
                    <a:stretch>
                      <a:fillRect/>
                    </a:stretch>
                  </pic:blipFill>
                  <pic:spPr>
                    <a:xfrm>
                      <a:off x="0" y="0"/>
                      <a:ext cx="5262245" cy="3746500"/>
                    </a:xfrm>
                    <a:prstGeom prst="rect">
                      <a:avLst/>
                    </a:prstGeom>
                  </pic:spPr>
                </pic:pic>
              </a:graphicData>
            </a:graphic>
          </wp:inline>
        </w:drawing>
      </w:r>
    </w:p>
    <w:p w14:paraId="270EFDA4">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物料平衡图</w:t>
      </w:r>
    </w:p>
    <w:p w14:paraId="05254EDA">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20335" cy="3717290"/>
            <wp:effectExtent l="0" t="0" r="18415" b="16510"/>
            <wp:docPr id="14" name="图片 14" descr="附图14-21焚烧系统图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图14-21焚烧系统图纸_02"/>
                    <pic:cNvPicPr>
                      <a:picLocks noChangeAspect="1"/>
                    </pic:cNvPicPr>
                  </pic:nvPicPr>
                  <pic:blipFill>
                    <a:blip r:embed="rId28"/>
                    <a:stretch>
                      <a:fillRect/>
                    </a:stretch>
                  </pic:blipFill>
                  <pic:spPr>
                    <a:xfrm>
                      <a:off x="0" y="0"/>
                      <a:ext cx="5220335" cy="3717290"/>
                    </a:xfrm>
                    <a:prstGeom prst="rect">
                      <a:avLst/>
                    </a:prstGeom>
                  </pic:spPr>
                </pic:pic>
              </a:graphicData>
            </a:graphic>
          </wp:inline>
        </w:drawing>
      </w:r>
    </w:p>
    <w:p w14:paraId="034EC59C">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能量平衡图</w:t>
      </w:r>
    </w:p>
    <w:p w14:paraId="7FFF9EED">
      <w:pPr>
        <w:pStyle w:val="8"/>
        <w:outlineLvl w:val="2"/>
        <w:rPr>
          <w:color w:val="000000" w:themeColor="text1"/>
          <w14:textFill>
            <w14:solidFill>
              <w14:schemeClr w14:val="tx1"/>
            </w14:solidFill>
          </w14:textFill>
        </w:rPr>
      </w:pPr>
      <w:bookmarkStart w:id="170" w:name="_Toc29771"/>
      <w:r>
        <w:rPr>
          <w:rFonts w:hint="eastAsia"/>
          <w:color w:val="000000" w:themeColor="text1"/>
          <w14:textFill>
            <w14:solidFill>
              <w14:schemeClr w14:val="tx1"/>
            </w14:solidFill>
          </w14:textFill>
        </w:rPr>
        <w:t>自动化控制系统</w:t>
      </w:r>
      <w:bookmarkEnd w:id="170"/>
    </w:p>
    <w:p w14:paraId="0C80DF3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本垃圾焚烧发电工程包括2台日处理量为400t/d垃圾焚烧炉、2套烟气净化系统、1套18MW汽轮发电机组</w:t>
      </w:r>
      <w:r>
        <w:rPr>
          <w:rFonts w:hint="eastAsia"/>
          <w:color w:val="000000" w:themeColor="text1"/>
          <w14:textFill>
            <w14:solidFill>
              <w14:schemeClr w14:val="tx1"/>
            </w14:solidFill>
          </w14:textFill>
        </w:rPr>
        <w:t>，预留二期建设用地</w:t>
      </w:r>
      <w:r>
        <w:rPr>
          <w:color w:val="000000" w:themeColor="text1"/>
          <w14:textFill>
            <w14:solidFill>
              <w14:schemeClr w14:val="tx1"/>
            </w14:solidFill>
          </w14:textFill>
        </w:rPr>
        <w:t>。热控部分的设计范围主要包括：垃圾焚烧炉系统、烟气净化系统、汽轮系发电机组系统、烟风系统、汽水系统、热力系统、燃油系统、循环水系统、化学水处理系统、渗沥液处理系统、厂用电系统、压缩空气系统、灰渣系统等。</w:t>
      </w:r>
    </w:p>
    <w:p w14:paraId="470007CA">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设计原则和设计依据</w:t>
      </w:r>
    </w:p>
    <w:p w14:paraId="67379CC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设计原则</w:t>
      </w:r>
    </w:p>
    <w:p w14:paraId="5B87958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保证工艺设备对热工自动化控制系统的要求，确保工艺设备能够安全、可靠的运行；在保证经济合理性的前提下，遵照先进、适用的原则，尽量选用先进技术；由于垃圾焚烧发电厂的环境条件较差，尽量采用质量好可靠性高的设备，并适宜地提高自动化水平；本设计包括热工检测、报警、保护、控制等，尽量采用标准设计、典型设计和通用设计。</w:t>
      </w:r>
    </w:p>
    <w:p w14:paraId="7B803E3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设计依据</w:t>
      </w:r>
    </w:p>
    <w:p w14:paraId="01DF026C">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《生活垃圾焚烧处理工程技术规范》CJJ90-2009</w:t>
      </w:r>
      <w:r>
        <w:rPr>
          <w:rFonts w:hint="eastAsia"/>
          <w:color w:val="000000" w:themeColor="text1"/>
          <w14:textFill>
            <w14:solidFill>
              <w14:schemeClr w14:val="tx1"/>
            </w14:solidFill>
          </w14:textFill>
        </w:rPr>
        <w:t>；</w:t>
      </w:r>
    </w:p>
    <w:p w14:paraId="636C9F41">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《生活垃圾焚烧厂评价标准》CJJ/T137-2019</w:t>
      </w:r>
      <w:r>
        <w:rPr>
          <w:rFonts w:hint="eastAsia"/>
          <w:color w:val="000000" w:themeColor="text1"/>
          <w14:textFill>
            <w14:solidFill>
              <w14:schemeClr w14:val="tx1"/>
            </w14:solidFill>
          </w14:textFill>
        </w:rPr>
        <w:t>；</w:t>
      </w:r>
    </w:p>
    <w:p w14:paraId="59267F65">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《火力发电厂分散控制系统技术条件》DL/T1083-2019</w:t>
      </w:r>
      <w:r>
        <w:rPr>
          <w:rFonts w:hint="eastAsia"/>
          <w:color w:val="000000" w:themeColor="text1"/>
          <w14:textFill>
            <w14:solidFill>
              <w14:schemeClr w14:val="tx1"/>
            </w14:solidFill>
          </w14:textFill>
        </w:rPr>
        <w:t>；</w:t>
      </w:r>
    </w:p>
    <w:p w14:paraId="34F21D0F">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《火力发电厂热工开关量和模拟量控制系统设计规程》DL/T5175-2021</w:t>
      </w:r>
      <w:r>
        <w:rPr>
          <w:rFonts w:hint="eastAsia"/>
          <w:color w:val="000000" w:themeColor="text1"/>
          <w14:textFill>
            <w14:solidFill>
              <w14:schemeClr w14:val="tx1"/>
            </w14:solidFill>
          </w14:textFill>
        </w:rPr>
        <w:t>；</w:t>
      </w:r>
    </w:p>
    <w:p w14:paraId="47519A59">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《火力发电厂可行性研究报告内容深度规定》DL/T5375-2018</w:t>
      </w:r>
      <w:r>
        <w:rPr>
          <w:rFonts w:hint="eastAsia"/>
          <w:color w:val="000000" w:themeColor="text1"/>
          <w14:textFill>
            <w14:solidFill>
              <w14:schemeClr w14:val="tx1"/>
            </w14:solidFill>
          </w14:textFill>
        </w:rPr>
        <w:t>；</w:t>
      </w:r>
    </w:p>
    <w:p w14:paraId="209B1044">
      <w:pPr>
        <w:numPr>
          <w:ilvl w:val="0"/>
          <w:numId w:val="4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《小型火力发电厂设计规范》GB50049-2011</w:t>
      </w:r>
      <w:r>
        <w:rPr>
          <w:rFonts w:hint="eastAsia"/>
          <w:color w:val="000000" w:themeColor="text1"/>
          <w14:textFill>
            <w14:solidFill>
              <w14:schemeClr w14:val="tx1"/>
            </w14:solidFill>
          </w14:textFill>
        </w:rPr>
        <w:t>。</w:t>
      </w:r>
    </w:p>
    <w:p w14:paraId="77CBC290">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控制要求和控制水平</w:t>
      </w:r>
    </w:p>
    <w:p w14:paraId="5EF4018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控制要求</w:t>
      </w:r>
    </w:p>
    <w:p w14:paraId="51EC662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每天处理一定量的垃圾，并要求充分燃烧。确保炉内烟气的温度&gt;850℃，区域内烟气停留的时间≥3秒，促进二噁英的分解。通过燃烧控制使余热锅炉蒸发量稳定在额定值上或处理一定量的垃圾。充分利用余热发电，提高经济效益。通过烟气处理，控制烟气排放参数在国家标准规定值以下。控制排放废物符合国家标准。</w:t>
      </w:r>
    </w:p>
    <w:p w14:paraId="7517972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控制水平</w:t>
      </w:r>
    </w:p>
    <w:p w14:paraId="250F44E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本工程达到的控制水平如下：</w:t>
      </w:r>
    </w:p>
    <w:p w14:paraId="55D25A1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设全厂中央控制室，对2条垃圾焚烧线、汽轮发电机组及相应热力系统采用DCS进行集中监视和控制。除中央控制室外，在厂房内还设置垃圾吊控制室、渣吊控制室</w:t>
      </w:r>
    </w:p>
    <w:p w14:paraId="01D7AD0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采用集散控制系统（DCS），以彩色LCD、专用键盘、鼠标为单元机组主要监视和控制手段，实现炉、机统一的监视与控制。同时，还设有紧急按钮和少量的常规仪表，以便在DCS全部故障时，能进行紧急停炉、停机操作。除机组启动前的准备工作和垃圾卸投料及灰渣输送控制外，整套机组的启动、停止、正常运行和事故处理均能在中央控制室内通过LCD及鼠标、键盘完成。</w:t>
      </w:r>
    </w:p>
    <w:p w14:paraId="4A14C81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中控制室设置大屏幕显示系统，可更清晰，更全面地监视生产过程种的工艺画面和过程参数，监控范围包括焚烧炉系统、烟风系统、锅沪汽水系统、热力系统、燃油系统、发电机机组、压缩空气系统、灰渣系统等。</w:t>
      </w:r>
    </w:p>
    <w:p w14:paraId="1A4E0F0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在中央控制室、垃圾吊控制室和渣吊控制室设置工业闭路电视系统，可对焚烧炉内燃烧过程、汽包液位、汽机间、垃圾池、焚烧炉料斗、垃圾卸料大厅和除渣区等主要设备或区域进行监视。</w:t>
      </w:r>
    </w:p>
    <w:p w14:paraId="3FA442A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于独立成套的控制系统如汽车衡称重系统、垃圾吊控制系统、压缩空气系统和清灰系统等采用可编程PLC控制，采用通讯方式与DCS相连，主要数据和工艺参数送与中控室DCS集中监控，在DCS上能对这些独立的系统进行启动和急停。</w:t>
      </w:r>
    </w:p>
    <w:p w14:paraId="1B9D23A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对供应商成套提供的启动燃烧器控制系统、汽机安全监视仪表系统（TSI）、汽机数字电液控制系统（DEH）、汽机危急跳闸系统（ETS）采用硬接线方式与DCS相连。</w:t>
      </w:r>
    </w:p>
    <w:p w14:paraId="766EBA7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为了提高垃圾焚烧发电厂自动化水平，设置电厂信息化系统。电厂信息化系统分为两层，一是为生产运营管理层服务的厂级监控信息系统（SIS），一是为经营决策层服务的厂级管理信息系统（MIS）。DCS、PLC与SIS、MIS共同构成了一个全新的、完整的电厂自动化系统。</w:t>
      </w:r>
    </w:p>
    <w:p w14:paraId="10F3D1BB">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控制系统的总体结构</w:t>
      </w:r>
    </w:p>
    <w:p w14:paraId="74C1A17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本工程控制系统主要由以下几大部分组成：</w:t>
      </w:r>
    </w:p>
    <w:p w14:paraId="435C245A">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分散控制，集中监视的集散型控制系统（DCS）；主控系统</w:t>
      </w:r>
    </w:p>
    <w:p w14:paraId="40EB6D88">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启动燃烧器控制系统；与主控系统硬接线</w:t>
      </w:r>
    </w:p>
    <w:p w14:paraId="22D5D645">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锅炉清灰监控系统；采用PLC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与主控系统通讯</w:t>
      </w:r>
    </w:p>
    <w:p w14:paraId="0089E312">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锅炉加药系统；与主控系统硬接线</w:t>
      </w:r>
    </w:p>
    <w:p w14:paraId="44D8E063">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汽水分析系统；与主控系统硬接线</w:t>
      </w:r>
    </w:p>
    <w:p w14:paraId="4F250E4E">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烟气净化控制系统；采用DCS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与主控系统硬接线</w:t>
      </w:r>
    </w:p>
    <w:p w14:paraId="5BA2B18F">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汽机安全监视系统（TSI）；与主控系统硬接线</w:t>
      </w:r>
    </w:p>
    <w:p w14:paraId="0B829205">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汽机紧急跳闸系统（ETS）；与主控系统硬接线</w:t>
      </w:r>
    </w:p>
    <w:p w14:paraId="2B287FD7">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汽机数字电液控制系统（DEH）；与主控系统硬接线</w:t>
      </w:r>
    </w:p>
    <w:p w14:paraId="4BBD3385">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除盐水制备控制系统；采用DCS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与主控系统硬接线</w:t>
      </w:r>
    </w:p>
    <w:p w14:paraId="346E5C0B">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压缩空气控制系统；采用PLC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与主控系统通讯</w:t>
      </w:r>
    </w:p>
    <w:p w14:paraId="08CDECF6">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烟气在线监测系统（CEMS）；与主控系统硬接线</w:t>
      </w:r>
    </w:p>
    <w:p w14:paraId="5F086079">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汽车衡称重系统；采用PLC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与主控系统通讯</w:t>
      </w:r>
    </w:p>
    <w:p w14:paraId="5F69EA41">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垃圾吊控制系统；采用PLC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与主控系统通讯</w:t>
      </w:r>
    </w:p>
    <w:p w14:paraId="7D4CB9D1">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卸料门管理监控系统；采用PLC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与主控系统通讯</w:t>
      </w:r>
    </w:p>
    <w:p w14:paraId="038190F3">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电气自动化系统；与主控系统通讯</w:t>
      </w:r>
    </w:p>
    <w:p w14:paraId="1CA25DDF">
      <w:pPr>
        <w:numPr>
          <w:ilvl w:val="0"/>
          <w:numId w:val="4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全厂管理信息系统（MIS）及厂级监控信息系统（SIS）</w:t>
      </w:r>
      <w:r>
        <w:rPr>
          <w:rFonts w:hint="eastAsia"/>
          <w:color w:val="000000" w:themeColor="text1"/>
          <w14:textFill>
            <w14:solidFill>
              <w14:schemeClr w14:val="tx1"/>
            </w14:solidFill>
          </w14:textFill>
        </w:rPr>
        <w:t>。</w:t>
      </w:r>
    </w:p>
    <w:p w14:paraId="1BF7F23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控制系统的结构</w:t>
      </w:r>
    </w:p>
    <w:p w14:paraId="1213859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DCS控制系统由监控管理级、控制级及现场级构成。自监控管理级包括信息系统，操作站、工程师站及服务器；控制级包括控制站、可编程控制器及其它控制器；现场级包括各种检测仪表及执行机构。</w:t>
      </w:r>
    </w:p>
    <w:p w14:paraId="11F8BD6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监控管理级用于监视和管理生产线各部分的状况、生产过程的监视和操作控制。</w:t>
      </w:r>
    </w:p>
    <w:p w14:paraId="0E86360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层完成各工艺子系统设备状态信号及工艺过程数据的采集、处理、实施程序控制，并与管理层进行通讯，将信息传输给管理与操作层，同时接受管理与操作层发出的指令，指令在控制层被执行后，控制层将其结果通过通讯网络将其发送给现场层的执行机构。</w:t>
      </w:r>
    </w:p>
    <w:p w14:paraId="4DD3E48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现场层由电气传动系统和仪表系统组成。电气传动系统由各类电气检测设备组成，完成各种设备的电气信号转换和控制；仪表系统由多种检测仪器和执行器组成，完成工艺参数的检测和信号转换及传输。</w:t>
      </w:r>
    </w:p>
    <w:p w14:paraId="54F26F5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控制系统配置</w:t>
      </w:r>
    </w:p>
    <w:p w14:paraId="73A6898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由于垃圾焚烧工艺对可靠性的要求，过程控制站冗余配置；通讯网络冗余配置。I/O接口要有15～20%的备用量，柜内应留有15%的卡件安装空间并装有15%的备用接线端子；控制（调节）回路冗余配置；重要回路1：1，次重要回路n：1（n为实际回路数）；控制回路和后备控制回路之间能够自动切换、手动与自动之间能够无扰动切换；重要检测信号的输入，选用双重化的输入卡件；分散控制系统内部电源为冗余配备，每个电源单元的容量应不小于实际最大负载的125%。</w:t>
      </w:r>
    </w:p>
    <w:p w14:paraId="56F755AA">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自控系统硬件配置表</w:t>
      </w:r>
    </w:p>
    <w:tbl>
      <w:tblPr>
        <w:tblStyle w:val="25"/>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9"/>
        <w:gridCol w:w="2158"/>
        <w:gridCol w:w="902"/>
        <w:gridCol w:w="3013"/>
      </w:tblGrid>
      <w:tr w14:paraId="5C0D1BE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vAlign w:val="center"/>
          </w:tcPr>
          <w:p w14:paraId="699E2F33">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系统名称</w:t>
            </w:r>
          </w:p>
        </w:tc>
        <w:tc>
          <w:tcPr>
            <w:tcW w:w="215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7485AC90">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硬件配置</w:t>
            </w:r>
          </w:p>
        </w:tc>
        <w:tc>
          <w:tcPr>
            <w:tcW w:w="90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473A05E0">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数量</w:t>
            </w:r>
          </w:p>
        </w:tc>
        <w:tc>
          <w:tcPr>
            <w:tcW w:w="301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14:paraId="18003C11">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控制范围</w:t>
            </w:r>
          </w:p>
        </w:tc>
      </w:tr>
      <w:tr w14:paraId="37BBED1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49B4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1#焚烧炉、锅炉</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5C045">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DEA04">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751D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1#焚烧炉、锅炉</w:t>
            </w:r>
          </w:p>
        </w:tc>
      </w:tr>
      <w:tr w14:paraId="1CDA638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35D7A">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2#焚烧炉、锅炉</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5EE2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E5065">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F00B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2#焚烧炉、锅炉</w:t>
            </w:r>
          </w:p>
        </w:tc>
      </w:tr>
      <w:tr w14:paraId="2A4C654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870E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焚烧公用系统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13A39">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3556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12F3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焚烧公用系统</w:t>
            </w:r>
          </w:p>
        </w:tc>
      </w:tr>
      <w:tr w14:paraId="34F1F78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5F0EE">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1#焚烧线烟气净化</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8A90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92325">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625B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1#焚烧线烟气净化</w:t>
            </w:r>
          </w:p>
        </w:tc>
      </w:tr>
      <w:tr w14:paraId="2DD4DEB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207A1">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2#焚烧线烟气净化</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B828E">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C5DF9">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DF1E0">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2#焚烧线烟气净化</w:t>
            </w:r>
          </w:p>
        </w:tc>
      </w:tr>
      <w:tr w14:paraId="365F47B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1D39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烟气净化公用系统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0683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B87B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30B24">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烟气净化公用系统</w:t>
            </w:r>
          </w:p>
        </w:tc>
      </w:tr>
      <w:tr w14:paraId="7436478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FC11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FD911">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713C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DAC4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汽轮机系统</w:t>
            </w:r>
          </w:p>
        </w:tc>
      </w:tr>
      <w:tr w14:paraId="5DA8980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2290E">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汽轮机公用系统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DEE6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FC9F9">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4262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汽轮机公用系统</w:t>
            </w:r>
          </w:p>
        </w:tc>
      </w:tr>
      <w:tr w14:paraId="1BF1D3D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E54E3">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化水系统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B4F5A">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FDCB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3ABC7">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化水系统</w:t>
            </w:r>
          </w:p>
        </w:tc>
      </w:tr>
      <w:tr w14:paraId="4ED44CA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81A0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渗沥液系统</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B1FE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冗余控制器</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31AC9">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76A4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渗沥液系统</w:t>
            </w:r>
          </w:p>
        </w:tc>
      </w:tr>
      <w:tr w14:paraId="0415368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C907C">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1#焚烧线操作站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FB04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A555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B6D">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1#焚烧炉、锅炉、烟气净化、焚烧线公用</w:t>
            </w:r>
          </w:p>
        </w:tc>
      </w:tr>
      <w:tr w14:paraId="24A94E9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86E1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2#焚烧线操作站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36A6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5BE4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22B06">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2#焚烧炉、锅炉、烟气净化、焚烧线公用</w:t>
            </w:r>
          </w:p>
        </w:tc>
      </w:tr>
      <w:tr w14:paraId="1ADB5C2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990D0">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汽轮机系统操作站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542BE">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E624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DA6F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汽轮机系统、汽机公用</w:t>
            </w:r>
          </w:p>
        </w:tc>
      </w:tr>
      <w:tr w14:paraId="0E9E487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9FDE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化水系统操作站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E95A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028EC">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EA5D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化水系统</w:t>
            </w:r>
          </w:p>
        </w:tc>
      </w:tr>
      <w:tr w14:paraId="333D8FF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D9DDE">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渗沥液系统操作站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E3BCB">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8B508">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5EF63">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渗沥液系统</w:t>
            </w:r>
          </w:p>
        </w:tc>
      </w:tr>
      <w:tr w14:paraId="75AF553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9D3B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值长站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D235F">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DD50">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10BD2">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值长站</w:t>
            </w:r>
          </w:p>
        </w:tc>
      </w:tr>
      <w:tr w14:paraId="26F0FC9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4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6498C">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工程师站</w:t>
            </w:r>
          </w:p>
        </w:tc>
        <w:tc>
          <w:tcPr>
            <w:tcW w:w="21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05CD9">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工控机</w:t>
            </w:r>
          </w:p>
        </w:tc>
        <w:tc>
          <w:tcPr>
            <w:tcW w:w="9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6B445">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1套</w:t>
            </w:r>
          </w:p>
        </w:tc>
        <w:tc>
          <w:tcPr>
            <w:tcW w:w="3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E80D3">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工程师站</w:t>
            </w:r>
          </w:p>
        </w:tc>
      </w:tr>
    </w:tbl>
    <w:p w14:paraId="0617E45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如上表所示：1#焚烧线（焚烧炉/锅炉/烟气净化）系统操作员站2个；2#焚烧线系统（焚烧炉/锅炉/烟气净化）操作员站2个；汽轮发电机系统操作员站1个；化水系统操作站2个；渗沥液系统操作站2个；值长站1个，共10个操作员站。化水系统操作站布置在化水控制室，渗沥液系统操作站布置在渗沥液控制室，其余操作员站布置在主控楼电子设备间。</w:t>
      </w:r>
    </w:p>
    <w:p w14:paraId="5D9F6DC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当一台操作员站发生故障时，其它操作员站中的任意一台均能承担起此台的操作任务，也就是任意一台操作员站能对全厂的工艺设备进行监视和操作。</w:t>
      </w:r>
    </w:p>
    <w:p w14:paraId="4843C13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工程师站1台，具有比操作员站更多的权限，可以实现对控制系统设置焚烧和诊断以及对系统的日常维护。</w:t>
      </w:r>
    </w:p>
    <w:p w14:paraId="6A5824D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监控级设备连接在通讯速率为10/100Mbps的自适应高速工业以太网上。</w:t>
      </w:r>
    </w:p>
    <w:p w14:paraId="528AE98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过程控制站12套，均为冗余配置（双电源模块、双CPU、双通讯模块），其中1#焚烧线为2套；2#焚烧线为2套；焚烧公用1套；1#焚烧线烟气净化1套；2#焚烧线烟气净化1套；烟气净化公用1套；汽机发电系统1套；汽轮机公用1套；化水1套；渗沥液1套。各控制站之间通过工业以太网连接，局部故障不会造成系统性能的降低。过程控制站与现场I/O站通过现场总线进行通讯，也可与现场仪表设备实现硬接线。</w:t>
      </w:r>
    </w:p>
    <w:p w14:paraId="362CF50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控制系统的通讯</w:t>
      </w:r>
    </w:p>
    <w:p w14:paraId="75C1988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采用分级控制、集中操作管理的原则，数据库系统采用分布式、并行式数据库结构，控制系统容易与其它PLC系统通讯。由于整个网络使用已成熟的网络接口卡，与国际上的网络接口技术保持一致，通讯软件及协议对用户开放，所有挂在现场控制站下面的设备自带PLC通过现场总线连接与控制系统通讯（通信波特率可根据设备自带PLC的技术参数在10/100MBPS而定），通信距离在500m以上。可通过数据共享功能实现PLC之间的数据传送，而无需编写任何程序；或通过以太网与其它设备通讯如电力监控系统自带的网络。操作系统支持远程数据访问服务功能，具有信息服务功能，实现网络间的点对点特定数据发送。对于网络故障能够做到实时记录所发生故障的类型、时间和细节。当网络中任意一个节点发生故障后，不会影响网络中其它节点的数据通信。</w:t>
      </w:r>
    </w:p>
    <w:p w14:paraId="1F04BA8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控制系统可靠性措施</w:t>
      </w:r>
    </w:p>
    <w:p w14:paraId="1375688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控制站多站配置具有分散性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冗余配置</w:t>
      </w:r>
      <w:r>
        <w:rPr>
          <w:rFonts w:hint="eastAsia"/>
          <w:color w:val="000000" w:themeColor="text1"/>
          <w14:textFill>
            <w14:solidFill>
              <w14:schemeClr w14:val="tx1"/>
            </w14:solidFill>
          </w14:textFill>
        </w:rPr>
        <w:t>如下：</w:t>
      </w:r>
    </w:p>
    <w:p w14:paraId="1A36AF99">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控制站采用双机热备结构</w:t>
      </w:r>
    </w:p>
    <w:p w14:paraId="3EFB43CB">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通讯总线双缆冗余</w:t>
      </w:r>
    </w:p>
    <w:p w14:paraId="486499F6">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远程I/O机箱的电源冗余</w:t>
      </w:r>
    </w:p>
    <w:p w14:paraId="56735CB0">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重要的I/O通道冗余</w:t>
      </w:r>
    </w:p>
    <w:p w14:paraId="22B7C27A">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仪表电源采用双电源供电</w:t>
      </w:r>
    </w:p>
    <w:p w14:paraId="7EAC836E">
      <w:pPr>
        <w:numPr>
          <w:ilvl w:val="0"/>
          <w:numId w:val="4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操作员站为多站配置，任一操作站发生故障，经过授权后其它操作员站均能实现此站功能</w:t>
      </w:r>
    </w:p>
    <w:p w14:paraId="3B3B0D3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主控系统备用容量和主要性能指标</w:t>
      </w:r>
      <w:r>
        <w:rPr>
          <w:rFonts w:hint="eastAsia"/>
          <w:color w:val="000000" w:themeColor="text1"/>
          <w14:textFill>
            <w14:solidFill>
              <w14:schemeClr w14:val="tx1"/>
            </w14:solidFill>
          </w14:textFill>
        </w:rPr>
        <w:t>如下：</w:t>
      </w:r>
    </w:p>
    <w:p w14:paraId="6377EE25">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过程管理部分：平均故障间隔时间（MTBF）&gt;30000小时，可用率&gt;99.8%。</w:t>
      </w:r>
    </w:p>
    <w:p w14:paraId="0AF7ED7E">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过程控制部分：MTBF&gt;100000小时，可用率&gt;99.8%。</w:t>
      </w:r>
    </w:p>
    <w:p w14:paraId="645EAB66">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系统显示精度：≥0.1%FS（FS：满量程）</w:t>
      </w:r>
    </w:p>
    <w:p w14:paraId="1EE263D7">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控制输出：≥0.25%FS</w:t>
      </w:r>
    </w:p>
    <w:p w14:paraId="6E1CE547">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控制器的工作周期：模拟量≤0.25秒，开关量&lt;0.1秒</w:t>
      </w:r>
    </w:p>
    <w:p w14:paraId="6594BB25">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CPU负荷率：≤50%（控制器）和≤40%（操作员站），均指最忙时。</w:t>
      </w:r>
    </w:p>
    <w:p w14:paraId="15DC5914">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存储器占有容量≤50%（内存）</w:t>
      </w:r>
    </w:p>
    <w:p w14:paraId="4152178D">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I/O点裕量：15%（每块I/O板平均值）</w:t>
      </w:r>
    </w:p>
    <w:p w14:paraId="055E5A69">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I/O插件槽裕量：15%</w:t>
      </w:r>
    </w:p>
    <w:p w14:paraId="0FBF2DFD">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通讯总线负荷率：≤30%</w:t>
      </w:r>
    </w:p>
    <w:p w14:paraId="3453ED19">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事件顺序记录分辨率：1ms</w:t>
      </w:r>
    </w:p>
    <w:p w14:paraId="12BB95AD">
      <w:pPr>
        <w:numPr>
          <w:ilvl w:val="0"/>
          <w:numId w:val="43"/>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操作员站允许最大标签量至少应为系统过程I/O总数的200%</w:t>
      </w:r>
    </w:p>
    <w:p w14:paraId="4169CD2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机组的重要保护和跳闸功能采用独立的多个测量通道，跳闸回路采取三取二逻辑。如锅炉汽包水位，汽机转速，汽机润滑油压力，汽机真空度，为确保准确动作均采用三取二保护措施。</w:t>
      </w:r>
    </w:p>
    <w:p w14:paraId="12F08A6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控制系统和机组保护系统都需要的过程信息，分别由各自的测量仪表接入不同的I/O通道。</w:t>
      </w:r>
    </w:p>
    <w:p w14:paraId="30F9F8C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对每个独立的控制对象，考虑有投入运行的许可条件，以避免不符合条件的投运，还考虑动作联锁，以便在危险的运行条件下使设备跳闸。</w:t>
      </w:r>
    </w:p>
    <w:p w14:paraId="00C95A4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I/O模件均有自诊断功能，以便在控制系统故障时，即能够直观、方便地将故障信息显示，使其故障位置能尽快确定，提高系统的运行可靠性，也可将信息上网提供给设备供应商，由制造厂提供解决故障方案。</w:t>
      </w:r>
    </w:p>
    <w:p w14:paraId="479874C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当主控系统发生全局性或重大故障时，为确保机组紧急安全停机，设置下列独立于主控系统的紧急事故操作手段：</w:t>
      </w:r>
    </w:p>
    <w:p w14:paraId="3EC42E10">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垃圾焚烧炉—余热锅炉紧急跳闸按钮</w:t>
      </w:r>
    </w:p>
    <w:p w14:paraId="0727FD39">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打开锅炉紧急放水电动阀按钮</w:t>
      </w:r>
    </w:p>
    <w:p w14:paraId="242A2C48">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打开生火排汽电动阀按钮</w:t>
      </w:r>
    </w:p>
    <w:p w14:paraId="00F17EF5">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汽机紧急跳闸按钮</w:t>
      </w:r>
    </w:p>
    <w:p w14:paraId="4BA02457">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直流润滑油泵投入按钮</w:t>
      </w:r>
    </w:p>
    <w:p w14:paraId="599F054E">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交流润滑油泵投入按钮</w:t>
      </w:r>
    </w:p>
    <w:p w14:paraId="449B75A0">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打开真空破坏阀按钮</w:t>
      </w:r>
    </w:p>
    <w:p w14:paraId="1AFC515F">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发电机紧急跳闸按钮</w:t>
      </w:r>
    </w:p>
    <w:p w14:paraId="5CCA5F9C">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励磁开关紧急跳闸按钮</w:t>
      </w:r>
    </w:p>
    <w:p w14:paraId="5AC2C30E">
      <w:pPr>
        <w:numPr>
          <w:ilvl w:val="0"/>
          <w:numId w:val="44"/>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设有卫星全球定时系统</w:t>
      </w:r>
      <w:r>
        <w:rPr>
          <w:rFonts w:hint="eastAsia"/>
          <w:color w:val="000000" w:themeColor="text1"/>
          <w14:textFill>
            <w14:solidFill>
              <w14:schemeClr w14:val="tx1"/>
            </w14:solidFill>
          </w14:textFill>
        </w:rPr>
        <w:t>。</w:t>
      </w:r>
    </w:p>
    <w:p w14:paraId="7CC1D2B0">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热工自动化功能</w:t>
      </w:r>
    </w:p>
    <w:p w14:paraId="32BCABA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操作站监视控制功能</w:t>
      </w:r>
    </w:p>
    <w:p w14:paraId="0B11763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完成垃圾接收与供料系统、垃圾焚烧系统、余热锅炉系统、汽轮发电机组、烟气净化系统及全厂配套的公用工程设施等系统的工艺参数实时监视；</w:t>
      </w:r>
    </w:p>
    <w:p w14:paraId="37F1DCD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生产参数的设定和操作修改；</w:t>
      </w:r>
    </w:p>
    <w:p w14:paraId="54B15C4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对被控参数进行瞬时显示、记录、累积、报警、打印；</w:t>
      </w:r>
    </w:p>
    <w:p w14:paraId="332CD5A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对重要参数进行联锁控制，并对报警事件作记录存储；</w:t>
      </w:r>
    </w:p>
    <w:p w14:paraId="5A0DF9D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通过屏幕对系统进行无扰动手动切换操作；</w:t>
      </w:r>
    </w:p>
    <w:p w14:paraId="65362BC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实现报表的打印，如班报表、日报表、月报表及随机报表等；</w:t>
      </w:r>
    </w:p>
    <w:p w14:paraId="6A3980F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各种趋势图的显示，包括实时趋势和历史趋势等。</w:t>
      </w:r>
    </w:p>
    <w:p w14:paraId="3B15C5F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操作站画面显示</w:t>
      </w:r>
    </w:p>
    <w:p w14:paraId="4D57A78F">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系统流程图形画面</w:t>
      </w:r>
    </w:p>
    <w:p w14:paraId="36C4003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系统流程图形画面共分为三级：</w:t>
      </w:r>
    </w:p>
    <w:p w14:paraId="184889E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第一级：总貌画面，本项目总貌画面共分六个，每个画面之间可以相互切换。</w:t>
      </w:r>
    </w:p>
    <w:p w14:paraId="31DF59E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第二级：从总貌画面中进入工艺流程图，此画面详细显示各设备的状态、参数等。</w:t>
      </w:r>
    </w:p>
    <w:p w14:paraId="6088DDD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第三级：设备操作和显示此工段的详细信息（趋势、棒图、切换开关、状态）。</w:t>
      </w:r>
    </w:p>
    <w:p w14:paraId="7DB362A9">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分组画面</w:t>
      </w:r>
    </w:p>
    <w:p w14:paraId="65DCDA4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按事先设定的分组，可同时显示几个回路的信息，每个一个回路信息有：过程变量的测量值、调节器的设定值、输出值、控制方式等。对模拟回路，可以手动改变设定值、输出值、控制方式等；对离散量可以手动操作设备的开启和停止，而画面同时显示出指令的状态和设备的实际状态。</w:t>
      </w:r>
    </w:p>
    <w:p w14:paraId="64AE39B1">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报警画面</w:t>
      </w:r>
    </w:p>
    <w:p w14:paraId="0AE8371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的报警产生在生产过程中的不正常的、不常发生的或不希望发生的状态，这些事件在发生时将报告给操作员，过程事件报警发生在自动控制过程中，例如过程信号超出设定极限、运行设备突然停机等，并按报警的时间顺序从最新发生的报警开始排序，报警优先级别和状态用不同的颜色区别，未经确认的报警处于闪烁状态。</w:t>
      </w:r>
    </w:p>
    <w:p w14:paraId="0995FD2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报警的内容包括：报警时间、过程变量名、过程变量说明、过程变量的当前值、报警设定值、工程单位。报警优先级别分为三部分，一般问题报警，严重事故报警，设备故障报警。</w:t>
      </w:r>
    </w:p>
    <w:p w14:paraId="5A1E1A9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一般问题报警用来报告一般故障，当故障出现后，系统在进行一系列处理后仍正常工作。所以在出现这种故障后，立即进行处理，并将结果显示出来，但系统仍能继续工作。严重事故将使系统无法工作，系统将采取保护措施，并停止工作，为操作人员排除故障提供帮助信息。设备故障报警用来显示设备的故障状况。</w:t>
      </w:r>
    </w:p>
    <w:p w14:paraId="4FEFB128">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趋势图</w:t>
      </w:r>
    </w:p>
    <w:p w14:paraId="396C273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系统具有显示任何数据趋势点的能力，以时间、实时值为变量，建立两维曲线，同一坐标轴可显示8条曲线，有可供用户自由选择的参数变量，不同的颜色和不同的时间间隔等。趋势分为历史趋势和实时趋势。历史趋势配套有数据库，可将曲线时间段前进或后退到过去特定的时间范围内。实时趋势无相应的数据库，只能显示当前时间段内数据的变化过程。趋势显示可以对所有模拟量值按一定时间段：天、星期、月等进行显示，当然具体时间段也可以由用户自己定义，操作员也可以调出某一历史档案库的历史值进行显示，显示方式可以按填充方式或连续曲线形式显示。</w:t>
      </w:r>
    </w:p>
    <w:p w14:paraId="052A5BF4">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棒图</w:t>
      </w:r>
    </w:p>
    <w:p w14:paraId="45165EB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采用棒图的方式表示过程变量的变化，棒图采用水平和垂直方式显示。棒图是集成在组态监控软件中的对象之一，也可根据需要定制特殊形状的棒图。组态时设置棒图的属性，使棒图具有动态特性。棒图随过程参数值的而变化，以显示当前过程参数值。棒图也可因不同的操作发生变化。</w:t>
      </w:r>
    </w:p>
    <w:p w14:paraId="063D0387">
      <w:pPr>
        <w:numPr>
          <w:ilvl w:val="0"/>
          <w:numId w:val="4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报表</w:t>
      </w:r>
    </w:p>
    <w:p w14:paraId="6DBD127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操作员站提供了一套集成的报表系统，也可根据用户自定义的格式生成报表。数据库里的所有过程点都可以打印输出，可以定义打印任务，按小时、天、星期及月报表形式循环输出。报表输出可按时间顺序触发、事件触发或操作员触发。主要有进出全厂的水、电、燃料流量，进入全厂的垃圾量，各类物质的使用量，出现故障，故障内容，出现故障的时间等内容。</w:t>
      </w:r>
    </w:p>
    <w:p w14:paraId="097ADA9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操作站主要监视画面</w:t>
      </w:r>
    </w:p>
    <w:p w14:paraId="4921A27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垃圾接收与供料系统、燃烧送风系统、垃圾焚烧炉系统、燃烧器控制及火焰监视系统、余热锅炉系统、给水除氧系统，</w:t>
      </w:r>
      <w:r>
        <w:rPr>
          <w:rFonts w:hint="eastAsia"/>
          <w:color w:val="000000" w:themeColor="text1"/>
          <w14:textFill>
            <w14:solidFill>
              <w14:schemeClr w14:val="tx1"/>
            </w14:solidFill>
          </w14:textFill>
        </w:rPr>
        <w:t>抽凝式</w:t>
      </w:r>
      <w:r>
        <w:rPr>
          <w:color w:val="000000" w:themeColor="text1"/>
          <w14:textFill>
            <w14:solidFill>
              <w14:schemeClr w14:val="tx1"/>
            </w14:solidFill>
          </w14:textFill>
        </w:rPr>
        <w:t>汽轮机及发电机系统、石灰浆制备及供给系统、活性炭供给系统、布袋除尘器系统、飞灰运输系统、炉渣处理系统、循环水系统、除盐水系统、空压机系统、电力调度系统等。</w:t>
      </w:r>
    </w:p>
    <w:p w14:paraId="2A625226">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自动控制系统控制内容</w:t>
      </w:r>
    </w:p>
    <w:p w14:paraId="18F6480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数据采集系统(DAS)</w:t>
      </w:r>
    </w:p>
    <w:p w14:paraId="3B354427">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垃圾接收与供料系统过程参数</w:t>
      </w:r>
    </w:p>
    <w:p w14:paraId="05845454">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垃圾焚烧系统程参数</w:t>
      </w:r>
    </w:p>
    <w:p w14:paraId="40A3CAEB">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点火燃料过程参数</w:t>
      </w:r>
    </w:p>
    <w:p w14:paraId="66AC803F">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汽轮发电机参数</w:t>
      </w:r>
    </w:p>
    <w:p w14:paraId="02C0D9CA">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烟气净化过程参数</w:t>
      </w:r>
    </w:p>
    <w:p w14:paraId="3B6FD940">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汽水系统过程参数</w:t>
      </w:r>
    </w:p>
    <w:p w14:paraId="4CEE2EF0">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热力系统过程参数</w:t>
      </w:r>
    </w:p>
    <w:p w14:paraId="688B90FD">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压缩空气过程参数</w:t>
      </w:r>
    </w:p>
    <w:p w14:paraId="4D463804">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除盐水制备系统过程参数</w:t>
      </w:r>
    </w:p>
    <w:p w14:paraId="19DFBFD5">
      <w:pPr>
        <w:numPr>
          <w:ilvl w:val="0"/>
          <w:numId w:val="4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其它公用设施的过程参数</w:t>
      </w:r>
    </w:p>
    <w:p w14:paraId="37CF01B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模拟量控制系统（MCS）</w:t>
      </w:r>
    </w:p>
    <w:p w14:paraId="1B81407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控制系统应满足焚烧炉、锅炉和汽机及其辅助系统安全可靠、稳定高效运行。在系统故障时，自动地将系统无扰动地从“自动”方式切换为“手动”方式，或从一种控制方式转换为另一种控制方式。</w:t>
      </w:r>
    </w:p>
    <w:p w14:paraId="4893DD0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焚烧炉燃烧控制系统ACC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一次风的风量与风温调节；按蒸发量控制的加料器和炉排往返速度调节；二次风量和风温的调节。</w:t>
      </w:r>
    </w:p>
    <w:p w14:paraId="6B93BC7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锅炉控制系统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锅炉汽包水位三冲量串级调节系统；过热蒸汽温度串级调节系统；二级过热器入、出口蒸汽温度串级调节系统；炉膛负压调节系统；省煤器入口水温调节。</w:t>
      </w:r>
    </w:p>
    <w:p w14:paraId="1DB240C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烟气处理控制系统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反应塔出口温度调节；按排烟中HCL和SO2酸性气体含量控制药剂加入量的调节。</w:t>
      </w:r>
    </w:p>
    <w:p w14:paraId="5A6AFB0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汽机、除氧器控制系统</w:t>
      </w:r>
      <w:r>
        <w:rPr>
          <w:rFonts w:hint="eastAsia"/>
          <w:color w:val="000000" w:themeColor="text1"/>
          <w14:textFill>
            <w14:solidFill>
              <w14:schemeClr w14:val="tx1"/>
            </w14:solidFill>
          </w14:textFill>
        </w:rPr>
        <w:t>包括：</w:t>
      </w:r>
    </w:p>
    <w:p w14:paraId="552C8631">
      <w:pPr>
        <w:numPr>
          <w:ilvl w:val="0"/>
          <w:numId w:val="47"/>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汽机数字电液控制DEH系统：</w:t>
      </w:r>
    </w:p>
    <w:p w14:paraId="2824F96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由随汽机提供的DEH控制装置来完成，操作人员可以通过操作员站对暖机升速率、升负荷、目标压力、目标功率、目标转速进行控制，正常运行时，必须有一台汽机运行在前压调节状态下，确保系统压力稳定。脱离电网运行，应运行在频率控制模式下。</w:t>
      </w:r>
    </w:p>
    <w:p w14:paraId="2D813BC3">
      <w:pPr>
        <w:numPr>
          <w:ilvl w:val="0"/>
          <w:numId w:val="47"/>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热井水位调节系统。</w:t>
      </w:r>
    </w:p>
    <w:p w14:paraId="51DE8307">
      <w:pPr>
        <w:numPr>
          <w:ilvl w:val="0"/>
          <w:numId w:val="47"/>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除氧器液位、压力调节系统。</w:t>
      </w:r>
    </w:p>
    <w:p w14:paraId="60557F8E">
      <w:pPr>
        <w:numPr>
          <w:ilvl w:val="0"/>
          <w:numId w:val="47"/>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减温减压装置压力和温度调节系统。</w:t>
      </w:r>
    </w:p>
    <w:p w14:paraId="4B0B468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顺序控制系统</w:t>
      </w:r>
      <w:r>
        <w:rPr>
          <w:color w:val="000000" w:themeColor="text1"/>
          <w14:textFill>
            <w14:solidFill>
              <w14:schemeClr w14:val="tx1"/>
            </w14:solidFill>
          </w14:textFill>
        </w:rPr>
        <w:tab/>
      </w:r>
      <w:r>
        <w:rPr>
          <w:color w:val="000000" w:themeColor="text1"/>
          <w14:textFill>
            <w14:solidFill>
              <w14:schemeClr w14:val="tx1"/>
            </w14:solidFill>
          </w14:textFill>
        </w:rPr>
        <w:t>（SCS）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垃圾卸料门及汽车进出控制系统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垃圾吊控制系统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焚烧炉点火燃烧控制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烟气处理布袋除尘系统控制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烟道清灰系统控制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氧化钙颗粒输送系统控制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汽轮发电机系统的顺序控制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凝汽器系统顺序控制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给排水系统顺序控制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循环水系统顺序控制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空压机系统顺序控制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安全保护和联锁</w:t>
      </w:r>
      <w:r>
        <w:rPr>
          <w:rFonts w:hint="eastAsia"/>
          <w:color w:val="000000" w:themeColor="text1"/>
          <w14:textFill>
            <w14:solidFill>
              <w14:schemeClr w14:val="tx1"/>
            </w14:solidFill>
          </w14:textFill>
        </w:rPr>
        <w:t>。</w:t>
      </w:r>
    </w:p>
    <w:p w14:paraId="0A9D57A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本项目的保护主要包括：锅炉的安全保护、汽轮机组跳闸保护和局部保护。</w:t>
      </w:r>
    </w:p>
    <w:p w14:paraId="51385465">
      <w:pPr>
        <w:numPr>
          <w:ilvl w:val="0"/>
          <w:numId w:val="48"/>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锅炉安全保护</w:t>
      </w:r>
    </w:p>
    <w:p w14:paraId="790A7F6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安全保护的设计能保证锅炉燃烧系统中各设备按规定的操作顺序和条件安全启停、切投，并能在危急工况下，跳闸相关设备或迅速切断进入炉膛的全部燃料（包括点火燃料），防止发生爆燃、爆炸等破坏性事故的安全保护和顺序控制。</w:t>
      </w:r>
    </w:p>
    <w:p w14:paraId="22C69505">
      <w:pPr>
        <w:numPr>
          <w:ilvl w:val="0"/>
          <w:numId w:val="48"/>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汽机跳闸保护（ETS）：</w:t>
      </w:r>
    </w:p>
    <w:p w14:paraId="374FAB5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汽机跳闸保护设计保证当汽轮发电机部分的跳闸条件出现时保护系统能关闭汽机自动主汽门与电动主汽门，调节门及抽汽逆止门。</w:t>
      </w:r>
    </w:p>
    <w:p w14:paraId="066E2B1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当汽轮机启动条件确定时，在中央控制室中手动做汽轮机复位工作。</w:t>
      </w:r>
    </w:p>
    <w:p w14:paraId="4B77C116">
      <w:pPr>
        <w:numPr>
          <w:ilvl w:val="0"/>
          <w:numId w:val="48"/>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局部保护</w:t>
      </w:r>
    </w:p>
    <w:p w14:paraId="4C37378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锅炉汽包水位保护。高水位保护：打开紧急放水电动门。低水位保护：只能停炉。</w:t>
      </w:r>
    </w:p>
    <w:p w14:paraId="7D59AA9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主蒸汽压力超压保护：打开生火排汽电动门。</w:t>
      </w:r>
    </w:p>
    <w:p w14:paraId="73F1D19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当润滑油压力达到下限二值时，自动启动交流油泵。</w:t>
      </w:r>
    </w:p>
    <w:p w14:paraId="1F03A34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当润滑油压力达到下限三值时，自动启动直流油泵并停机。</w:t>
      </w:r>
    </w:p>
    <w:p w14:paraId="699C48B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当润滑油达到下限四值时停止盘车。</w:t>
      </w:r>
    </w:p>
    <w:p w14:paraId="2B9D7CF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泵阀联锁：当采用离心泵出口有电动门时，应先开泵，当泵达到额定转速后再打开电动门。</w:t>
      </w:r>
    </w:p>
    <w:p w14:paraId="53D0520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风机与入口挡板的联锁：为减少风机启动力矩，应先开启风机，达到额定或设定转速后再开启风门。</w:t>
      </w:r>
    </w:p>
    <w:p w14:paraId="79E7636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备用泵的联锁：当有备用泵时，泵出口压力达到下限值，应自动启动备用。</w:t>
      </w:r>
    </w:p>
    <w:p w14:paraId="3CDE561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除氧器水位高高打开紧急放水门。</w:t>
      </w:r>
    </w:p>
    <w:p w14:paraId="3899962F">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信息管理系统</w:t>
      </w:r>
    </w:p>
    <w:p w14:paraId="77235D24">
      <w:pPr>
        <w:numPr>
          <w:ilvl w:val="0"/>
          <w:numId w:val="49"/>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计算机信息系统描述</w:t>
      </w:r>
    </w:p>
    <w:p w14:paraId="22B926A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厂过程自动化的底层控制已经发展到一个很成熟的阶段，在新的阶段，加强全厂生产过程监控分析及优化指导，加强电厂的内部科学管理、深挖潜力、降低成本、节能降耗、合理安排机组的启停和检修，将机组的启停次数、机组的检修时间尽量的缩小，实现电厂的成本的最小化等需求，对电厂的信息化建设提出了迫切的需求。随着自动化水平的提高，电厂的信息化建设得到了快速的发展。电厂的信息化系统分为两层，一是为生产运营管理层服务的厂级监控信息系统（SIS），一是为经营决策层服务的厂级管理信息系统（MIS）。DCS、PLC与SIS、MIS共同构成了一个全新的、完整的电厂自动化系统。全厂信息管理系统的逻辑定位如下图所示：</w:t>
      </w:r>
    </w:p>
    <w:p w14:paraId="340C1F18">
      <w:pP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207.7pt;width:385.5pt;" o:ole="t" filled="f" o:preferrelative="t" stroked="f" coordsize="21600,21600">
            <v:path/>
            <v:fill on="f" focussize="0,0"/>
            <v:stroke on="f" joinstyle="miter"/>
            <v:imagedata r:id="rId30" o:title=""/>
            <o:lock v:ext="edit" aspectratio="t"/>
            <w10:wrap type="none"/>
            <w10:anchorlock/>
          </v:shape>
          <o:OLEObject Type="Embed" ProgID="Visio.Drawing.11" ShapeID="_x0000_i1025" DrawAspect="Content" ObjectID="_1468075725" r:id="rId29">
            <o:LockedField>false</o:LockedField>
          </o:OLEObject>
        </w:object>
      </w:r>
      <w:r>
        <w:rPr>
          <w:color w:val="000000" w:themeColor="text1"/>
          <w14:textFill>
            <w14:solidFill>
              <w14:schemeClr w14:val="tx1"/>
            </w14:solidFill>
          </w14:textFill>
        </w:rPr>
        <w:object>
          <v:shape id="_x0000_i1026" o:spt="75" type="#_x0000_t75" style="height:177.8pt;width:393.55pt;" o:ole="t" filled="f" o:preferrelative="t" stroked="f" coordsize="21600,21600">
            <v:path/>
            <v:fill on="f" focussize="0,0"/>
            <v:stroke on="f"/>
            <v:imagedata r:id="rId30" o:title=""/>
            <o:lock v:ext="edit" aspectratio="t"/>
            <w10:wrap type="none"/>
            <w10:anchorlock/>
          </v:shape>
          <o:OLEObject Type="Embed" ProgID="Visio.Drawing.11" ShapeID="_x0000_i1026" DrawAspect="Content" ObjectID="_1468075726" r:id="rId31">
            <o:LockedField>false</o:LockedField>
          </o:OLEObject>
        </w:object>
      </w:r>
    </w:p>
    <w:p w14:paraId="5011BA6D">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信息管理系统逻辑图</w:t>
      </w:r>
    </w:p>
    <w:p w14:paraId="5329D837">
      <w:pPr>
        <w:numPr>
          <w:ilvl w:val="0"/>
          <w:numId w:val="49"/>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厂级监控信息系统（SIS）的功能</w:t>
      </w:r>
    </w:p>
    <w:p w14:paraId="0758900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级监控信息系统（SupervisoryInformationSysteminPlantLevel，简称SIS）是集生产过程监测、优化运行及生产管理为一体的计算机系统，是计算机技术、自动控制技术、决策支持技术、电力专业技术多学科交叉的技术密集型系统。SIS建立企业生产过程实时数据和历史数据库平台、实现整个企业范围内的信息共享；以安全、经济运行和提高发电企业整体效益为目标，支持企业生产过程综合优化服务；同时为企业管理层的决策提供真实可靠的运行数据和科学准确的经济指标。</w:t>
      </w:r>
    </w:p>
    <w:p w14:paraId="6B9ADC9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SIS系统提供基于ProficyHistorian实时历史数据库平台的SIS系统方案，以其卓越的性能、易用的组态、安全可靠的系统架构、开放式的互连性为实现SIS系统的应用搭建了优异的平台。SIS系统位于DCS、PLC及现场总线等自动化系统之上，在全厂范围内采集、汇集以实时数据库为主体的生产数据。网络主要采用了分层分布式设计，整个SIS系统分为三层，下层为SIS接口层网络，采用独立接口机连接各个独立控制系统进行数据采集。中间为SIS应用层网络，连接SIS层历史服务器、各计算、分析、维护服务器及值长站。上层为SIS/MIS综合信息发布，包括WebServer和浏览客户端。</w:t>
      </w:r>
    </w:p>
    <w:p w14:paraId="2F0CC06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本工程厂级监控信息系统SIS系统由以下几部分组成：</w:t>
      </w:r>
    </w:p>
    <w:p w14:paraId="173F0B5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实时数据采集、单元机组DCS、烟气处理、吹灰数据存储/管理、厂级过程监视和管理、综合优化计算和分析。</w:t>
      </w:r>
    </w:p>
    <w:p w14:paraId="68A1BD3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对全厂生产数据进行综合处理、统计分析，形成全厂生产报表和曲线，使用户可以在各终端上对各生产流程进行统一的监视和查询，实现生产数据信息的共享。</w:t>
      </w:r>
    </w:p>
    <w:p w14:paraId="1FE61B2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对全厂生产状况进行实时监视，通过生产模拟图、趋势图、棒状图和参数分类表等多种监视方式实时显示各单元机组及辅助车间的主要运行参数和设备状态。</w:t>
      </w:r>
    </w:p>
    <w:p w14:paraId="59ABF43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应用功能是SIS系统的核心，也是电厂建立厂级监控信息系统的根本目标。从安全经济运行和科学管理的实际需要出发，依据我国电厂目前的技术条件和有关行业标准，SIS主要包括如下应用功能：</w:t>
      </w:r>
    </w:p>
    <w:p w14:paraId="34C4CE6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过程监视模块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厂领导、生产技术管理人员、值长和其它用户可以通过该模块对全厂生产状况进行实时监视，通过生产模拟图、趋势图、棒状图和参数分类表等多种监视方式实时显示DCS及辅助车间等的主要运行参数和设备状态。</w:t>
      </w:r>
    </w:p>
    <w:p w14:paraId="7D2F18E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生产报表模块图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电厂生产报表是根据电厂的锅炉、汽机、电气等的参数数据与表码数据，进行数据的计算、统计、汇总与指标分析，自动形成生产日报，生产月报，生产年报等。并且提供方便快捷的报表查询功能，显示和打印报表。</w:t>
      </w:r>
    </w:p>
    <w:p w14:paraId="12DAA3A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数据查询模块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该功能主要完成厂级和机组级生产历史数据、实时数据、异常数据和统计数据的查询。通过数据查询模块，客户端可设置个性化查询条件进行查询（如范围、时间段等）。</w:t>
      </w:r>
    </w:p>
    <w:p w14:paraId="68C4A90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设备管理模块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该模块以主要辅机为对象，建立独立的画面，显示辅机的所有参数，并显示辅机的主要统计参数，如连续运行时间，超限次数等，提供相应的检修计划和指导以便运行和检修人员能够及时对这些设备进行维护、检修，保证安全、经济生产。并且对主要辅机的参数超限情况及设备的可靠性进行统计。</w:t>
      </w:r>
    </w:p>
    <w:p w14:paraId="5B96A68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经济负荷分配模块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经济负荷分配建立在厂级性能计算分析和设备状态分析的基础上，保证电厂安全经济运行。在全厂运行总值长站上根据远方AGC指令和其它生产调度指令结合本厂主、辅系统和设备运行情况决定各台机组的负荷分配。SIS系统提供优良的信息处理软件和运行指导软件，以帮助值长能够有效地利用大量的过程信息，迅速、准确地掌握全厂生产过程运行情况，正确下达指令。支持予分配和实时负荷分配两种情况，支持手动模式，和自动发电控制（AGC）模式。</w:t>
      </w:r>
    </w:p>
    <w:p w14:paraId="3D7F491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优化吹灰系统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优化吹灰系统将根据锅炉汽水系统、风烟系统流程及长短吹灰器的布置，将受热面相应划分为若干部分，通过计算各部分的清洁系数来反映受热面的积灰情况。同时综合考虑吹灰对锅炉效率、蒸汽损耗、受热面吹蚀等经济因素以及机组负荷、主汽压力、垃圾组份、氧量、火焰中心等多种因数变化对积灰的影响，制定合理的吹灰程序，以指导运行人员何时、在何处及持续多长时间进行吹灰，最大限度地减少受热面的积灰、结渣结焦现象，保证锅炉的安全，提高机组整体运行的经济性。</w:t>
      </w:r>
    </w:p>
    <w:p w14:paraId="5724764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锅炉燃烧稳态优化模块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锅炉燃烧稳态优化模块，应用模型预测技术计算最优的燃烧空/燃比，从而实现最佳的燃烧效率与最低的CO排放量。</w:t>
      </w:r>
    </w:p>
    <w:p w14:paraId="2CD9BFE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故障分析模块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故障分析系统是根据工艺系统和设备本体热工测量参数的变化，对主机和主要辅机设备的重要易磨损和泄漏部件进行检测、判断以及计算分析，提供设备相关信息的状态判断、报警等功能，以便运行和检修人员能够及时对这些设备进行维护、检修，保证安全、经济生产。</w:t>
      </w:r>
    </w:p>
    <w:p w14:paraId="38A4F44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报警管理模块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报警管理通过对大量运行参数报警信息进行处理，对主要运行参数报警集中显示，优先给出重要参数报警及报警原因，并显示坏点、高低限值、当前实时值、最佳值等信息，并且按照重要程度分级显示。帮助运行人员集中精力，快速找出引起报警的主要原因，并采取及时的应对措施，避免引起事故扩大。</w:t>
      </w:r>
    </w:p>
    <w:p w14:paraId="2B3B9046">
      <w:pPr>
        <w:numPr>
          <w:ilvl w:val="0"/>
          <w:numId w:val="49"/>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管理信息系统（MIS）</w:t>
      </w:r>
    </w:p>
    <w:p w14:paraId="271A906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厂管理信息系统作为电力企业信息化建设的主体，是一个贯穿了电厂整体生命周期的集计算机网络技术、自动控制技术、通信技术以及数据库技术为一体的系统体。通过构建电厂管理信息系统，帮助电厂的各个部门提高工作效率和管理水平，同时提供电厂与外部供应链进行信息交互和通信的平台。信息管理系统采用通用的以太网技术，用于工厂级的信息传送和管理，是实现全厂综合管理的信息通道。通过在多功能站（MIS网接口计算机）上安装双重网络接口转换的方法，实现企业信息管理网与过程控制网络之门的网间桥接，以获取控制系统在过程参数和系统的运行信息，同时也向下传送上层管理计算机的调度指令和生产指导信息。管理网采用大型网络数据库，实现信息共享，并可将各个装置的控制系统连入企业信息管理网，实现工厂级的综合管理、调度、统计、决策等。</w:t>
      </w:r>
    </w:p>
    <w:p w14:paraId="41231B2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MIS系统采用“客户机/服务器”（Client/Server）与“浏览器/服务器”（Browser/Server）相结合的体系结构。硬件上分为网络子系统（交换机）、存储子系统，安全子系统（防火墙、单向网闸）。</w:t>
      </w:r>
    </w:p>
    <w:p w14:paraId="7AD6AA6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当前的电力市场环境下，电厂管理信息系统的目标是“充分利用电厂的生产和经营的数据，合理规划生产管理流程，实现计算机辅助管理和辅助决策，为电厂的经营目标服务”。从需求来看，要求MIS系统以企业内部网为依托，以经济分析、成本管理和报价辅助决策为目标，在对大量生产、经营、交易实时和历史数据信息进行有效组织和控制的基础上，运用最新的计算机技术、电力经济分析方法和决策分析模型实现了生产经营指标动态分析、投入产出比较等功能。这样，传统的电厂管理方式已经不能满足新形势下的电厂需求，作为独立的发电企业，电厂对管理信息系统的应用提出了更高的要求，电厂迫切需要将先进的管理思想和管理模式引入电厂MIS，来强化管理流程。通过数据整合的技术，将电厂生产的实时系统数据引入到MIS中，形成一体化的管理信息系统平台。</w:t>
      </w:r>
    </w:p>
    <w:p w14:paraId="1853DA1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同时要求在传统电厂MIS系统的基础上，能完成根据设定的条件和数学模型，对生产和运行的数据进行分析，让数据流起来，通过采用数理统计方法、非线形多元矩阵、人工神经元网络、决策树等辅助决策模型对数据流进行处理。从而得出各类优化目标下的辅助决策。减少盲目性，提高科学性和合理性。另一方面，能通过灵活的流程定义，将设备检修、消缺等典型工作进行规范，增加设备资产管理方面的功能，加强对设备的监测和跟踪，通过项目管理、物料管理，采购管理、人员管理，来提高设备检修的效率，减少设备检修的时间，达到对设备资产运行。</w:t>
      </w:r>
    </w:p>
    <w:p w14:paraId="63E3098F">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热工自动化设备选型</w:t>
      </w:r>
    </w:p>
    <w:p w14:paraId="17F2A54B">
      <w:pPr>
        <w:numPr>
          <w:ilvl w:val="0"/>
          <w:numId w:val="5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常规仪表和控制设备选型</w:t>
      </w:r>
    </w:p>
    <w:p w14:paraId="52BBE8C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温度测量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选用符合IEC标准且为电站设计的K型热电偶、PT100热电阻测温元件。热电偶、热电阻的信号直接进入DCS的输入模件，在模件内实现冷端温度补偿和线性化处理。就地温度显示选用双金属温度计。</w:t>
      </w:r>
    </w:p>
    <w:p w14:paraId="0DDD7BB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压力测量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选用智能型压力、压差、差压流量、差压液位变送器。带有现场显示表头。联锁保护用的压力信号一般选用可靠性高的压力控制器。就地压力显示，选用不锈钢弹簧管压力表，膜盒式压力表、膜片压力表。</w:t>
      </w:r>
    </w:p>
    <w:p w14:paraId="04E03DD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流量测量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根据被测介质的性质，对于汽水流量采用孔板、喷嘴测量，其它介质流量选用电磁流量计、超声波流量计、金属管转子流量计等。空气流量测量选用文丘里、阿牛巴、热式等气体介质测量元件。</w:t>
      </w:r>
    </w:p>
    <w:p w14:paraId="29B19F4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物位测量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液位测量一般选用智能型差压变送器。常压容器选用静压式液位变送器，磁翻板液位计，超声波液位计；固体物位选用超声波物位计；液位信号测量可选用磁性浮子液位开关；料位信号测量选用旋阻式料位开关或超声波料位开关。</w:t>
      </w:r>
    </w:p>
    <w:p w14:paraId="1E381A6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调节阀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调节阀选取用电动调节阀，执行机构选用可靠性高，操作方便的智能或数字电子式执行器，执行器带有手轮和位置反馈信号。</w:t>
      </w:r>
    </w:p>
    <w:p w14:paraId="695A5A7A">
      <w:pPr>
        <w:rPr>
          <w:color w:val="000000" w:themeColor="text1"/>
          <w14:textFill>
            <w14:solidFill>
              <w14:schemeClr w14:val="tx1"/>
            </w14:solidFill>
          </w14:textFill>
        </w:rPr>
      </w:pPr>
      <w:r>
        <w:rPr>
          <w:color w:val="000000" w:themeColor="text1"/>
          <w14:textFill>
            <w14:solidFill>
              <w14:schemeClr w14:val="tx1"/>
            </w14:solidFill>
          </w14:textFill>
        </w:rPr>
        <w:t>大管道的风量调节选用大的气动节阀，配有带阀位指示可靠性高的智能电气阀门定位器。需要联锁动作的开关阀门选气动阀门，配有电磁阀。</w:t>
      </w:r>
    </w:p>
    <w:p w14:paraId="4A4DF1D5">
      <w:pPr>
        <w:numPr>
          <w:ilvl w:val="0"/>
          <w:numId w:val="50"/>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烟气排放监测系统（CEMS）</w:t>
      </w:r>
    </w:p>
    <w:p w14:paraId="2B43475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监测烟气中的HCL、O2、SO2、CO、CO2、NOx、H2O、HH3和烟气流量等。CEMS包括采样、测量分析、数据采集与处理三部分。数据传至中央控制室显示监控，也送到室外大屏幕显示器上显示，接受民众的监督，同时可以通过通讯接口送至环保部门，进行实时在线监控管理。烟气在线监测系统对所监测的数据进行实时采样，可以显示瞬时值，排放总量，根据需要做成日报表，月报表，年报表，对数据进行贮存，记录，显示和打印，系统还在报/警功能。</w:t>
      </w:r>
    </w:p>
    <w:p w14:paraId="4F1532C4">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中央控制室和电子设备间</w:t>
      </w:r>
    </w:p>
    <w:p w14:paraId="7B4978B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控制室内设置DCS主监控设备和有关仪表盘及工业电视监视器等，操作人员通过这些设备，实现对全厂锅炉、汽机及辅助设施集中统一有效的监视和控制。控制室布置在主控楼内，控制室包括中央控制室和电子设备间。</w:t>
      </w:r>
    </w:p>
    <w:p w14:paraId="4CA8294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中央控制室内设备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央控制室内设置6个控制台（2个焚烧线控制台，1个汽机控制台，1个电气控制台、1个打印机台、1个值长台兼做工业电视控制台）。每个控制台面上安放人—机接口的液晶显示器，以及操作键盘、鼠标和紧急操作按钮。控制台前方设置机、炉、电用的大屏幕显示器、工业电视显示器和3台汽包电接点水位计的显示仪。</w:t>
      </w:r>
    </w:p>
    <w:p w14:paraId="6A44F9F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工程师室内设备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工程师室内设4个控制台（1个工程师/历史数据站控制台，1个DEH工程师站控制台，1个电气工程师站操作台，1个SIS接口站/打印机控制台）。</w:t>
      </w:r>
    </w:p>
    <w:p w14:paraId="73372D4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电子设备间：布置DCS柜，热力配电箱，电源柜，工业电视控制柜，焚烧炉、锅炉自带PLC柜，汽机自带控制柜，UPS柜，电气控制设备柜等。</w:t>
      </w:r>
    </w:p>
    <w:p w14:paraId="26D12336">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仪表电源和气源</w:t>
      </w:r>
    </w:p>
    <w:p w14:paraId="4040926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每个控制和仪表系统或控制柜组所要求的交流和直流电源均分别提供两路独立的电源，供电设计做到一路电源故障不会使电源中断，电源切换不会导致控制系统失效。分散控制系统的220VAC电源主要由不停电电源（UPS）提供，一路保安电源作备用。不停电电源装置(UPS)提供的220VAC电源，是有一线直接接地的单相两线制系统，其技术指标为：</w:t>
      </w:r>
    </w:p>
    <w:p w14:paraId="083E483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电压稳定度:稳态时不大于±2％，动态过程中不大于±10％。</w:t>
      </w:r>
    </w:p>
    <w:p w14:paraId="586495E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频率稳定度:稳态时不大于±1％，动态过程中不大于±2%。</w:t>
      </w:r>
    </w:p>
    <w:p w14:paraId="25D6D24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波形失真度:不大于5％。</w:t>
      </w:r>
    </w:p>
    <w:p w14:paraId="3D4D92B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备用电源切换时间:不大于5ms。</w:t>
      </w:r>
    </w:p>
    <w:p w14:paraId="6402FED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厂用交流电源中断情况下，UPS能保证连续供电至少半小时。</w:t>
      </w:r>
    </w:p>
    <w:p w14:paraId="61F6DE4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且</w:t>
      </w:r>
      <w:r>
        <w:rPr>
          <w:color w:val="000000" w:themeColor="text1"/>
          <w14:textFill>
            <w14:solidFill>
              <w14:schemeClr w14:val="tx1"/>
            </w14:solidFill>
          </w14:textFill>
        </w:rPr>
        <w:t>每台机组的锅炉配电箱和汽机配电箱各有两路380/220VAC电源进线，它们分别来自机组低压厂用母线电源不同段。各辅助车间控制盘各有两路220VAC或380/220VAC电源，分别来自各自的车间配电箱。</w:t>
      </w:r>
    </w:p>
    <w:p w14:paraId="56B9829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气源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主厂房内控制系统仪用气源均为无油、无水、无杂质的净化干燥气源。仪用净化气源来全厂公用的空压站，并经过空气过滤与干燥，其气源品质符合以下要求：</w:t>
      </w:r>
    </w:p>
    <w:p w14:paraId="25D4857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露点：工作压力下的露点比工作环境最低温度低10℃。</w:t>
      </w:r>
    </w:p>
    <w:p w14:paraId="65103A0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含尘：净化后的气体中，含尘粒直径不大于3</w:t>
      </w:r>
      <w:r>
        <w:rPr>
          <w:color w:val="000000" w:themeColor="text1"/>
          <w14:textFill>
            <w14:solidFill>
              <w14:schemeClr w14:val="tx1"/>
            </w14:solidFill>
          </w14:textFill>
        </w:rPr>
        <w:sym w:font="Symbol" w:char="F06D"/>
      </w:r>
      <w:r>
        <w:rPr>
          <w:color w:val="000000" w:themeColor="text1"/>
          <w14:textFill>
            <w14:solidFill>
              <w14:schemeClr w14:val="tx1"/>
            </w14:solidFill>
          </w14:textFill>
        </w:rPr>
        <w:t>m。</w:t>
      </w:r>
    </w:p>
    <w:p w14:paraId="3A8F3A0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含油：气源装置送出的气体，油份含量控制在8PPm以下。</w:t>
      </w:r>
    </w:p>
    <w:p w14:paraId="23B1A7F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辅助车间仪用气源，气源品质同上。</w:t>
      </w:r>
    </w:p>
    <w:p w14:paraId="7186440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贮气罐能保证全部空气压缩机停止时，在供气压力不低于气动设备最低允许工作压力情况下，满足设备5min的耗气量。</w:t>
      </w:r>
    </w:p>
    <w:p w14:paraId="46ED1723">
      <w:pPr>
        <w:numPr>
          <w:ilvl w:val="0"/>
          <w:numId w:val="39"/>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工业电视系统</w:t>
      </w:r>
    </w:p>
    <w:p w14:paraId="109D7BF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监视生产过程，提高生产效率，确保设备及人身安全，在操作人员必须监视而不易直接观察到的生产关键部位，设置工业电视，监视器安装在控制室，摄像机分别安装在垃圾接收厅、垃圾池、垃圾入炉口、焚烧炉炉膛、汽轮发电机组部位等。</w:t>
      </w:r>
    </w:p>
    <w:p w14:paraId="04A8D1C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摄像机的设置</w:t>
      </w:r>
      <w:r>
        <w:rPr>
          <w:rFonts w:hint="eastAsia"/>
          <w:color w:val="000000" w:themeColor="text1"/>
          <w14:textFill>
            <w14:solidFill>
              <w14:schemeClr w14:val="tx1"/>
            </w14:solidFill>
          </w14:textFill>
        </w:rPr>
        <w:t>包括：</w:t>
      </w:r>
    </w:p>
    <w:p w14:paraId="5B84711E">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卸料平台：监测垃圾车的倾倒情况；</w:t>
      </w:r>
    </w:p>
    <w:p w14:paraId="02F48416">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垃圾投料口：观察投料口的投料情况；</w:t>
      </w:r>
    </w:p>
    <w:p w14:paraId="797C00F4">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锅筒平台：观察汽包就地水位计水位；</w:t>
      </w:r>
    </w:p>
    <w:p w14:paraId="253D7CFE">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焚烧炉高温摄像机：观察焚烧炉炉膛燃烧及火焰情况；</w:t>
      </w:r>
    </w:p>
    <w:p w14:paraId="42F0D97D">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垃圾池：观察垃圾坑情况；</w:t>
      </w:r>
    </w:p>
    <w:p w14:paraId="2CD4799C">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汽机平台：观察汽机运行情况；</w:t>
      </w:r>
    </w:p>
    <w:p w14:paraId="6E4A3068">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厂房大门人流进出门；</w:t>
      </w:r>
    </w:p>
    <w:p w14:paraId="2F3004B6">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渣坑；</w:t>
      </w:r>
    </w:p>
    <w:p w14:paraId="60318891">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烟囱；</w:t>
      </w:r>
    </w:p>
    <w:p w14:paraId="67510355">
      <w:pPr>
        <w:numPr>
          <w:ilvl w:val="0"/>
          <w:numId w:val="51"/>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其它辅助车间等。</w:t>
      </w:r>
    </w:p>
    <w:p w14:paraId="29F9B9D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监视器的设置</w:t>
      </w:r>
      <w:r>
        <w:rPr>
          <w:rFonts w:hint="eastAsia"/>
          <w:color w:val="000000" w:themeColor="text1"/>
          <w14:textFill>
            <w14:solidFill>
              <w14:schemeClr w14:val="tx1"/>
            </w14:solidFill>
          </w14:textFill>
        </w:rPr>
        <w:t>包括：</w:t>
      </w:r>
    </w:p>
    <w:p w14:paraId="6C5BE890">
      <w:pPr>
        <w:numPr>
          <w:ilvl w:val="0"/>
          <w:numId w:val="5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垃圾吊操作室：分别监视投料斗的投料情况和垃圾卸料大厅垃圾车倾倒情况，可切换画面。</w:t>
      </w:r>
    </w:p>
    <w:p w14:paraId="1CF5CCA2">
      <w:pPr>
        <w:numPr>
          <w:ilvl w:val="0"/>
          <w:numId w:val="5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渣吊控制室：监视渣坑。</w:t>
      </w:r>
    </w:p>
    <w:p w14:paraId="1CB8211F">
      <w:pPr>
        <w:numPr>
          <w:ilvl w:val="0"/>
          <w:numId w:val="52"/>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中控室21台，4台分别监视每条线汽包就地水位计，不可切换画面；4台分别监视每条焚烧炉炉膛燃烧和火焰情况，画面可切换。</w:t>
      </w:r>
    </w:p>
    <w:p w14:paraId="5EDB5390">
      <w:pPr>
        <w:pStyle w:val="8"/>
        <w:outlineLvl w:val="2"/>
        <w:rPr>
          <w:color w:val="000000" w:themeColor="text1"/>
          <w14:textFill>
            <w14:solidFill>
              <w14:schemeClr w14:val="tx1"/>
            </w14:solidFill>
          </w14:textFill>
        </w:rPr>
      </w:pPr>
      <w:bookmarkStart w:id="171" w:name="_Toc19033"/>
      <w:r>
        <w:rPr>
          <w:rFonts w:hint="eastAsia"/>
          <w:color w:val="000000" w:themeColor="text1"/>
          <w14:textFill>
            <w14:solidFill>
              <w14:schemeClr w14:val="tx1"/>
            </w14:solidFill>
          </w14:textFill>
        </w:rPr>
        <w:t>电气方案</w:t>
      </w:r>
      <w:bookmarkEnd w:id="171"/>
    </w:p>
    <w:p w14:paraId="1F21A916">
      <w:pPr>
        <w:ind w:firstLine="560" w:firstLineChars="200"/>
        <w:rPr>
          <w:rFonts w:hint="eastAsia" w:ascii="仿宋" w:hAnsi="仿宋" w:cs="仿宋"/>
          <w:color w:val="000000" w:themeColor="text1"/>
          <w:lang w:val="zh-TW" w:eastAsia="zh-TW"/>
          <w14:textFill>
            <w14:solidFill>
              <w14:schemeClr w14:val="tx1"/>
            </w14:solidFill>
          </w14:textFill>
        </w:rPr>
      </w:pPr>
      <w:r>
        <w:rPr>
          <w:rFonts w:hint="eastAsia" w:ascii="仿宋" w:hAnsi="仿宋" w:cs="仿宋"/>
          <w:color w:val="000000" w:themeColor="text1"/>
          <w14:textFill>
            <w14:solidFill>
              <w14:schemeClr w14:val="tx1"/>
            </w14:solidFill>
          </w14:textFill>
        </w:rPr>
        <w:t>本工程一期安装1×18MW发电机组，二期暂按安装1×9MW发电机组考虑，发电机出口电压均为10.5kV，</w:t>
      </w:r>
      <w:r>
        <w:rPr>
          <w:rFonts w:hint="eastAsia" w:ascii="仿宋" w:hAnsi="仿宋" w:cs="仿宋"/>
          <w:color w:val="000000" w:themeColor="text1"/>
          <w:lang w:val="zh-TW" w:eastAsia="zh-TW"/>
          <w14:textFill>
            <w14:solidFill>
              <w14:schemeClr w14:val="tx1"/>
            </w14:solidFill>
          </w14:textFill>
        </w:rPr>
        <w:t>设想如下两种主接线方案：</w:t>
      </w:r>
    </w:p>
    <w:p w14:paraId="69606870">
      <w:pPr>
        <w:ind w:firstLine="560" w:firstLineChars="200"/>
        <w:rPr>
          <w:rFonts w:hint="eastAsia" w:ascii="仿宋" w:hAnsi="仿宋" w:cs="仿宋"/>
          <w:color w:val="000000" w:themeColor="text1"/>
          <w:lang w:val="zh-TW" w:eastAsia="zh-TW"/>
          <w14:textFill>
            <w14:solidFill>
              <w14:schemeClr w14:val="tx1"/>
            </w14:solidFill>
          </w14:textFill>
        </w:rPr>
      </w:pPr>
      <w:r>
        <w:rPr>
          <w:rFonts w:hint="eastAsia" w:ascii="仿宋" w:hAnsi="仿宋" w:cs="仿宋"/>
          <w:color w:val="000000" w:themeColor="text1"/>
          <w:lang w:val="zh-TW" w:eastAsia="zh-TW"/>
          <w14:textFill>
            <w14:solidFill>
              <w14:schemeClr w14:val="tx1"/>
            </w14:solidFill>
          </w14:textFill>
        </w:rPr>
        <w:t>方案一：采用发电机母线接线方式</w:t>
      </w:r>
      <w:r>
        <w:rPr>
          <w:rFonts w:hint="eastAsia" w:ascii="仿宋" w:hAnsi="仿宋" w:cs="仿宋"/>
          <w:color w:val="000000" w:themeColor="text1"/>
          <w:lang w:val="zh-TW"/>
          <w14:textFill>
            <w14:solidFill>
              <w14:schemeClr w14:val="tx1"/>
            </w14:solidFill>
          </w14:textFill>
        </w:rPr>
        <w:t>，</w:t>
      </w:r>
      <w:r>
        <w:rPr>
          <w:rFonts w:hint="eastAsia" w:ascii="仿宋" w:hAnsi="仿宋" w:cs="仿宋"/>
          <w:color w:val="000000" w:themeColor="text1"/>
          <w14:textFill>
            <w14:solidFill>
              <w14:schemeClr w14:val="tx1"/>
            </w14:solidFill>
          </w14:textFill>
        </w:rPr>
        <w:t>发电机出口设置断路器，一期及二期工程分别设1段10.5kV发电机母线，两段母线间设母线连络断路器</w:t>
      </w:r>
      <w:r>
        <w:rPr>
          <w:rFonts w:hint="eastAsia" w:ascii="仿宋" w:hAnsi="仿宋" w:cs="仿宋"/>
          <w:color w:val="000000" w:themeColor="text1"/>
          <w:lang w:val="zh-TW"/>
          <w14:textFill>
            <w14:solidFill>
              <w14:schemeClr w14:val="tx1"/>
            </w14:solidFill>
          </w14:textFill>
        </w:rPr>
        <w:t>，</w:t>
      </w:r>
      <w:r>
        <w:rPr>
          <w:rFonts w:hint="eastAsia" w:ascii="仿宋" w:hAnsi="仿宋" w:cs="仿宋"/>
          <w:color w:val="000000" w:themeColor="text1"/>
          <w:lang w:val="zh-TW" w:eastAsia="zh-TW"/>
          <w14:textFill>
            <w14:solidFill>
              <w14:schemeClr w14:val="tx1"/>
            </w14:solidFill>
          </w14:textFill>
        </w:rPr>
        <w:t>发电机机端电压经主变压器升压至</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采用单母线接线，以单回路</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架空线路上网。另外从当地电网取一回路</w:t>
      </w:r>
      <w:r>
        <w:rPr>
          <w:rFonts w:hint="eastAsia" w:ascii="仿宋" w:hAnsi="仿宋" w:cs="仿宋"/>
          <w:color w:val="000000" w:themeColor="text1"/>
          <w14:textFill>
            <w14:solidFill>
              <w14:schemeClr w14:val="tx1"/>
            </w14:solidFill>
          </w14:textFill>
        </w:rPr>
        <w:t>10kV</w:t>
      </w:r>
      <w:r>
        <w:rPr>
          <w:rFonts w:hint="eastAsia" w:ascii="仿宋" w:hAnsi="仿宋" w:cs="仿宋"/>
          <w:color w:val="000000" w:themeColor="text1"/>
          <w:lang w:val="zh-TW" w:eastAsia="zh-TW"/>
          <w14:textFill>
            <w14:solidFill>
              <w14:schemeClr w14:val="tx1"/>
            </w14:solidFill>
          </w14:textFill>
        </w:rPr>
        <w:t>线路作为全厂保安电源。发电机、高压电机和厂用变压器均接在</w:t>
      </w:r>
      <w:r>
        <w:rPr>
          <w:rFonts w:hint="eastAsia" w:ascii="仿宋" w:hAnsi="仿宋" w:cs="仿宋"/>
          <w:color w:val="000000" w:themeColor="text1"/>
          <w14:textFill>
            <w14:solidFill>
              <w14:schemeClr w14:val="tx1"/>
            </w14:solidFill>
          </w14:textFill>
        </w:rPr>
        <w:t>10kV</w:t>
      </w:r>
      <w:r>
        <w:rPr>
          <w:rFonts w:hint="eastAsia" w:ascii="仿宋" w:hAnsi="仿宋" w:cs="仿宋"/>
          <w:color w:val="000000" w:themeColor="text1"/>
          <w:lang w:val="zh-TW" w:eastAsia="zh-TW"/>
          <w14:textFill>
            <w14:solidFill>
              <w14:schemeClr w14:val="tx1"/>
            </w14:solidFill>
          </w14:textFill>
        </w:rPr>
        <w:t>发电机母线上。</w:t>
      </w:r>
    </w:p>
    <w:p w14:paraId="32937A6A">
      <w:pPr>
        <w:ind w:firstLine="560" w:firstLineChars="200"/>
        <w:rPr>
          <w:rFonts w:hint="eastAsia" w:ascii="仿宋" w:hAnsi="仿宋" w:cs="仿宋"/>
          <w:color w:val="000000" w:themeColor="text1"/>
          <w:lang w:val="zh-TW" w:eastAsia="zh-TW"/>
          <w14:textFill>
            <w14:solidFill>
              <w14:schemeClr w14:val="tx1"/>
            </w14:solidFill>
          </w14:textFill>
        </w:rPr>
      </w:pPr>
      <w:r>
        <w:rPr>
          <w:rFonts w:hint="eastAsia" w:ascii="仿宋" w:hAnsi="仿宋" w:cs="仿宋"/>
          <w:color w:val="000000" w:themeColor="text1"/>
          <w:lang w:val="zh-TW" w:eastAsia="zh-TW"/>
          <w14:textFill>
            <w14:solidFill>
              <w14:schemeClr w14:val="tx1"/>
            </w14:solidFill>
          </w14:textFill>
        </w:rPr>
        <w:t>方案二：</w:t>
      </w:r>
      <w:r>
        <w:rPr>
          <w:rFonts w:hint="eastAsia" w:ascii="仿宋" w:hAnsi="仿宋" w:cs="仿宋"/>
          <w:color w:val="000000" w:themeColor="text1"/>
          <w14:textFill>
            <w14:solidFill>
              <w14:schemeClr w14:val="tx1"/>
            </w14:solidFill>
          </w14:textFill>
        </w:rPr>
        <w:t>一期及二期工程均</w:t>
      </w:r>
      <w:r>
        <w:rPr>
          <w:rFonts w:hint="eastAsia" w:ascii="仿宋" w:hAnsi="仿宋" w:cs="仿宋"/>
          <w:color w:val="000000" w:themeColor="text1"/>
          <w:lang w:val="zh-TW" w:eastAsia="zh-TW"/>
          <w14:textFill>
            <w14:solidFill>
              <w14:schemeClr w14:val="tx1"/>
            </w14:solidFill>
          </w14:textFill>
        </w:rPr>
        <w:t>采用发电机</w:t>
      </w:r>
      <w:r>
        <w:rPr>
          <w:rFonts w:hint="eastAsia" w:ascii="仿宋" w:hAnsi="仿宋" w:cs="仿宋"/>
          <w:color w:val="000000" w:themeColor="text1"/>
          <w14:textFill>
            <w14:solidFill>
              <w14:schemeClr w14:val="tx1"/>
            </w14:solidFill>
          </w14:textFill>
        </w:rPr>
        <w:t>—</w:t>
      </w:r>
      <w:r>
        <w:rPr>
          <w:rFonts w:hint="eastAsia" w:ascii="仿宋" w:hAnsi="仿宋" w:cs="仿宋"/>
          <w:color w:val="000000" w:themeColor="text1"/>
          <w:lang w:val="zh-TW" w:eastAsia="zh-TW"/>
          <w14:textFill>
            <w14:solidFill>
              <w14:schemeClr w14:val="tx1"/>
            </w14:solidFill>
          </w14:textFill>
        </w:rPr>
        <w:t>双卷变压器组的单元接线，</w:t>
      </w:r>
      <w:r>
        <w:rPr>
          <w:rFonts w:hint="eastAsia" w:ascii="仿宋" w:hAnsi="仿宋" w:cs="仿宋"/>
          <w:color w:val="000000" w:themeColor="text1"/>
          <w14:textFill>
            <w14:solidFill>
              <w14:schemeClr w14:val="tx1"/>
            </w14:solidFill>
          </w14:textFill>
        </w:rPr>
        <w:t>发电机出口设置断路器，发电机出口设厂用分支，厂用电10kV负荷的用电取自厂用分支母线段，</w:t>
      </w:r>
      <w:r>
        <w:rPr>
          <w:rFonts w:hint="eastAsia" w:ascii="仿宋" w:hAnsi="仿宋" w:cs="仿宋"/>
          <w:color w:val="000000" w:themeColor="text1"/>
          <w:lang w:val="zh-TW" w:eastAsia="zh-TW"/>
          <w14:textFill>
            <w14:solidFill>
              <w14:schemeClr w14:val="tx1"/>
            </w14:solidFill>
          </w14:textFill>
        </w:rPr>
        <w:t>发电机机端电压经主变压器升压至</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采用单母线接线，以单回路</w:t>
      </w:r>
      <w:r>
        <w:rPr>
          <w:rFonts w:hint="eastAsia" w:ascii="仿宋" w:hAnsi="仿宋" w:cs="仿宋"/>
          <w:color w:val="000000" w:themeColor="text1"/>
          <w14:textFill>
            <w14:solidFill>
              <w14:schemeClr w14:val="tx1"/>
            </w14:solidFill>
          </w14:textFill>
        </w:rPr>
        <w:t>110kV</w:t>
      </w:r>
      <w:r>
        <w:rPr>
          <w:rFonts w:hint="eastAsia" w:ascii="仿宋" w:hAnsi="仿宋" w:cs="仿宋"/>
          <w:color w:val="000000" w:themeColor="text1"/>
          <w:lang w:val="zh-TW" w:eastAsia="zh-TW"/>
          <w14:textFill>
            <w14:solidFill>
              <w14:schemeClr w14:val="tx1"/>
            </w14:solidFill>
          </w14:textFill>
        </w:rPr>
        <w:t>架空线路上网。另外从当地电网取一回路</w:t>
      </w:r>
      <w:r>
        <w:rPr>
          <w:rFonts w:hint="eastAsia" w:ascii="仿宋" w:hAnsi="仿宋" w:cs="仿宋"/>
          <w:color w:val="000000" w:themeColor="text1"/>
          <w14:textFill>
            <w14:solidFill>
              <w14:schemeClr w14:val="tx1"/>
            </w14:solidFill>
          </w14:textFill>
        </w:rPr>
        <w:t>10kV</w:t>
      </w:r>
      <w:r>
        <w:rPr>
          <w:rFonts w:hint="eastAsia" w:ascii="仿宋" w:hAnsi="仿宋" w:cs="仿宋"/>
          <w:color w:val="000000" w:themeColor="text1"/>
          <w:lang w:val="zh-TW" w:eastAsia="zh-TW"/>
          <w14:textFill>
            <w14:solidFill>
              <w14:schemeClr w14:val="tx1"/>
            </w14:solidFill>
          </w14:textFill>
        </w:rPr>
        <w:t>线路作为全厂保安电源。</w:t>
      </w:r>
    </w:p>
    <w:p w14:paraId="5ECBF34C">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zh-TW" w:eastAsia="zh-TW"/>
          <w14:textFill>
            <w14:solidFill>
              <w14:schemeClr w14:val="tx1"/>
            </w14:solidFill>
          </w14:textFill>
        </w:rPr>
      </w:pPr>
      <w:r>
        <w:rPr>
          <w:rFonts w:hint="eastAsia"/>
          <w:color w:val="000000" w:themeColor="text1"/>
          <w:lang w:val="zh-TW" w:eastAsia="zh-TW"/>
          <w14:textFill>
            <w14:solidFill>
              <w14:schemeClr w14:val="tx1"/>
            </w14:solidFill>
          </w14:textFill>
        </w:rPr>
        <w:t>方案比较（以方案一为基础比较）：</w:t>
      </w:r>
    </w:p>
    <w:tbl>
      <w:tblPr>
        <w:tblStyle w:val="25"/>
        <w:tblW w:w="8522" w:type="dxa"/>
        <w:tblInd w:w="136"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7"/>
        <w:gridCol w:w="2209"/>
        <w:gridCol w:w="1807"/>
        <w:gridCol w:w="2459"/>
      </w:tblGrid>
      <w:tr w14:paraId="741CF22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4256" w:type="dxa"/>
            <w:gridSpan w:val="2"/>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tcPr>
          <w:p w14:paraId="51418CB1">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技术比较</w:t>
            </w:r>
          </w:p>
        </w:tc>
        <w:tc>
          <w:tcPr>
            <w:tcW w:w="4266"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14:paraId="5ABF3339">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经济比较</w:t>
            </w:r>
          </w:p>
        </w:tc>
      </w:tr>
      <w:tr w14:paraId="280475C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20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22027">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方案一</w:t>
            </w:r>
          </w:p>
        </w:tc>
        <w:tc>
          <w:tcPr>
            <w:tcW w:w="22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84053">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方案二</w:t>
            </w:r>
          </w:p>
        </w:tc>
        <w:tc>
          <w:tcPr>
            <w:tcW w:w="18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886EC">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方案一</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CCC40">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方案二</w:t>
            </w:r>
          </w:p>
        </w:tc>
      </w:tr>
      <w:tr w14:paraId="61A50F7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31" w:hRule="atLeast"/>
        </w:trPr>
        <w:tc>
          <w:tcPr>
            <w:tcW w:w="20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7853F">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lang w:val="zh-TW" w:eastAsia="zh-TW"/>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操作简单，灵活性、安全性、可靠性较高</w:t>
            </w:r>
          </w:p>
        </w:tc>
        <w:tc>
          <w:tcPr>
            <w:tcW w:w="22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FAAEF">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操作复杂，灵活性、安全性、可靠性高。</w:t>
            </w:r>
          </w:p>
        </w:tc>
        <w:tc>
          <w:tcPr>
            <w:tcW w:w="18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D85FE">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占地面积</w:t>
            </w:r>
            <w:r>
              <w:rPr>
                <w:rFonts w:hint="eastAsia" w:ascii="仿宋" w:hAnsi="仿宋" w:eastAsia="仿宋" w:cs="仿宋"/>
                <w:color w:val="000000" w:themeColor="text1"/>
                <w:sz w:val="24"/>
                <w:szCs w:val="24"/>
                <w14:textFill>
                  <w14:solidFill>
                    <w14:schemeClr w14:val="tx1"/>
                  </w14:solidFill>
                </w14:textFill>
              </w:rPr>
              <w:t>小</w:t>
            </w:r>
            <w:r>
              <w:rPr>
                <w:rFonts w:hint="eastAsia" w:ascii="仿宋" w:hAnsi="仿宋" w:eastAsia="仿宋" w:cs="仿宋"/>
                <w:color w:val="000000" w:themeColor="text1"/>
                <w:sz w:val="24"/>
                <w:szCs w:val="24"/>
                <w:lang w:val="zh-TW"/>
                <w14:textFill>
                  <w14:solidFill>
                    <w14:schemeClr w14:val="tx1"/>
                  </w14:solidFill>
                </w14:textFill>
              </w:rPr>
              <w:t>，</w:t>
            </w:r>
            <w:r>
              <w:rPr>
                <w:rFonts w:hint="eastAsia" w:ascii="仿宋" w:hAnsi="仿宋" w:eastAsia="仿宋" w:cs="仿宋"/>
                <w:color w:val="000000" w:themeColor="text1"/>
                <w:sz w:val="24"/>
                <w:szCs w:val="24"/>
                <w:lang w:val="zh-TW" w:eastAsia="zh-TW"/>
                <w14:textFill>
                  <w14:solidFill>
                    <w14:schemeClr w14:val="tx1"/>
                  </w14:solidFill>
                </w14:textFill>
              </w:rPr>
              <w:t>投资</w:t>
            </w:r>
            <w:r>
              <w:rPr>
                <w:rFonts w:hint="eastAsia" w:ascii="仿宋" w:hAnsi="仿宋" w:eastAsia="仿宋" w:cs="仿宋"/>
                <w:color w:val="000000" w:themeColor="text1"/>
                <w:sz w:val="24"/>
                <w:szCs w:val="24"/>
                <w14:textFill>
                  <w14:solidFill>
                    <w14:schemeClr w14:val="tx1"/>
                  </w14:solidFill>
                </w14:textFill>
              </w:rPr>
              <w:t>低</w:t>
            </w:r>
            <w:r>
              <w:rPr>
                <w:rFonts w:hint="eastAsia" w:ascii="仿宋" w:hAnsi="仿宋" w:eastAsia="仿宋" w:cs="仿宋"/>
                <w:color w:val="000000" w:themeColor="text1"/>
                <w:sz w:val="24"/>
                <w:szCs w:val="24"/>
                <w:lang w:val="zh-TW" w:eastAsia="zh-TW"/>
                <w14:textFill>
                  <w14:solidFill>
                    <w14:schemeClr w14:val="tx1"/>
                  </w14:solidFill>
                </w14:textFill>
              </w:rPr>
              <w:t>。</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A1BB7">
            <w:pPr>
              <w:keepNext w:val="0"/>
              <w:keepLines w:val="0"/>
              <w:suppressLineNumbers w:val="0"/>
              <w:spacing w:before="0" w:beforeAutospacing="0" w:after="0" w:afterAutospacing="0"/>
              <w:ind w:left="0" w:right="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zh-TW" w:eastAsia="zh-TW"/>
                <w14:textFill>
                  <w14:solidFill>
                    <w14:schemeClr w14:val="tx1"/>
                  </w14:solidFill>
                </w14:textFill>
              </w:rPr>
              <w:t>占地面积略大</w:t>
            </w:r>
            <w:r>
              <w:rPr>
                <w:rFonts w:hint="eastAsia" w:ascii="仿宋" w:hAnsi="仿宋" w:cs="仿宋"/>
                <w:color w:val="000000" w:themeColor="text1"/>
                <w:sz w:val="24"/>
                <w:szCs w:val="24"/>
                <w:lang w:val="zh-TW"/>
                <w14:textFill>
                  <w14:solidFill>
                    <w14:schemeClr w14:val="tx1"/>
                  </w14:solidFill>
                </w14:textFill>
              </w:rPr>
              <w:t>，</w:t>
            </w:r>
          </w:p>
          <w:p w14:paraId="09962F66">
            <w:pPr>
              <w:pStyle w:val="76"/>
              <w:keepNext w:val="0"/>
              <w:keepLines w:val="0"/>
              <w:suppressLineNumbers w:val="0"/>
              <w:spacing w:before="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TW" w:eastAsia="zh-TW"/>
                <w14:textFill>
                  <w14:solidFill>
                    <w14:schemeClr w14:val="tx1"/>
                  </w14:solidFill>
                </w14:textFill>
              </w:rPr>
              <w:t>投资稍高。</w:t>
            </w:r>
          </w:p>
        </w:tc>
      </w:tr>
    </w:tbl>
    <w:p w14:paraId="144EC636">
      <w:pPr>
        <w:ind w:firstLine="560" w:firstLineChars="200"/>
        <w:rPr>
          <w:color w:val="000000" w:themeColor="text1"/>
          <w14:textFill>
            <w14:solidFill>
              <w14:schemeClr w14:val="tx1"/>
            </w14:solidFill>
          </w14:textFill>
        </w:rPr>
      </w:pPr>
      <w:r>
        <w:rPr>
          <w:color w:val="000000" w:themeColor="text1"/>
          <w:lang w:val="zh-TW" w:eastAsia="zh-TW"/>
          <w14:textFill>
            <w14:solidFill>
              <w14:schemeClr w14:val="tx1"/>
            </w14:solidFill>
          </w14:textFill>
        </w:rPr>
        <w:t>根据上表比较结果，两方案均可满足安全性、可靠性要求，但方案一投资稍略少，操作简单。故本工程推荐方案一。</w:t>
      </w:r>
    </w:p>
    <w:p w14:paraId="2D16BCC4">
      <w:pPr>
        <w:pStyle w:val="8"/>
        <w:outlineLvl w:val="2"/>
        <w:rPr>
          <w:color w:val="000000" w:themeColor="text1"/>
          <w14:textFill>
            <w14:solidFill>
              <w14:schemeClr w14:val="tx1"/>
            </w14:solidFill>
          </w14:textFill>
        </w:rPr>
      </w:pPr>
      <w:bookmarkStart w:id="172" w:name="_Toc10768"/>
      <w:r>
        <w:rPr>
          <w:rFonts w:hint="eastAsia"/>
          <w:color w:val="000000" w:themeColor="text1"/>
          <w14:textFill>
            <w14:solidFill>
              <w14:schemeClr w14:val="tx1"/>
            </w14:solidFill>
          </w14:textFill>
        </w:rPr>
        <w:t>生活垃圾焚烧处理全流程</w:t>
      </w:r>
      <w:bookmarkEnd w:id="165"/>
      <w:bookmarkEnd w:id="172"/>
    </w:p>
    <w:p w14:paraId="5C54790D">
      <w:pPr>
        <w:ind w:firstLine="560" w:firstLineChars="200"/>
        <w:rPr>
          <w:color w:val="000000" w:themeColor="text1"/>
          <w14:textFill>
            <w14:solidFill>
              <w14:schemeClr w14:val="tx1"/>
            </w14:solidFill>
          </w14:textFill>
        </w:rPr>
      </w:pPr>
      <w:bookmarkStart w:id="173" w:name="_Toc27711"/>
      <w:r>
        <w:rPr>
          <w:rFonts w:hint="eastAsia"/>
          <w:color w:val="000000" w:themeColor="text1"/>
          <w14:textFill>
            <w14:solidFill>
              <w14:schemeClr w14:val="tx1"/>
            </w14:solidFill>
          </w14:textFill>
        </w:rPr>
        <w:t>1）</w:t>
      </w:r>
      <w:r>
        <w:rPr>
          <w:color w:val="000000" w:themeColor="text1"/>
          <w14:textFill>
            <w14:solidFill>
              <w14:schemeClr w14:val="tx1"/>
            </w14:solidFill>
          </w14:textFill>
        </w:rPr>
        <w:t>垃圾接收、贮存、输送与焚烧工艺流程</w:t>
      </w:r>
      <w:bookmarkEnd w:id="173"/>
    </w:p>
    <w:p w14:paraId="2FB4DD5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垃圾由垃圾运输车运送至焚烧厂，经汽车衡称量后通过坡道进入卸料大厅并卸入垃圾仓暂存。垃圾抓斗吊抓斗将垃圾送入各焚烧炉的进料斗。垃圾通过进料斗、溜槽，由给料机推送至焚烧炉内。燃烬的炉渣经出渣口落入除渣机。</w:t>
      </w:r>
    </w:p>
    <w:p w14:paraId="489CF301">
      <w:pPr>
        <w:ind w:firstLine="560" w:firstLineChars="200"/>
        <w:rPr>
          <w:color w:val="000000" w:themeColor="text1"/>
          <w14:textFill>
            <w14:solidFill>
              <w14:schemeClr w14:val="tx1"/>
            </w14:solidFill>
          </w14:textFill>
        </w:rPr>
      </w:pPr>
      <w:bookmarkStart w:id="174" w:name="_Toc31977"/>
      <w:r>
        <w:rPr>
          <w:rFonts w:hint="eastAsia"/>
          <w:color w:val="000000" w:themeColor="text1"/>
          <w14:textFill>
            <w14:solidFill>
              <w14:schemeClr w14:val="tx1"/>
            </w14:solidFill>
          </w14:textFill>
        </w:rPr>
        <w:t>2）空气流程</w:t>
      </w:r>
      <w:bookmarkEnd w:id="174"/>
    </w:p>
    <w:p w14:paraId="48234C5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燃烧空气系统包括一次空气和二次空气两部分。一次空气通过一次风机由垃圾池上方空间引入，同时保证垃圾池处于负压状态，避免臭气外泄。一次空气经一次蒸汽-空气预热器预热后，通过炉排下部进入风箱，再由炉排送风孔及炉排上的垃圾层进入炉膛助燃。二次空气通过二次风机由焚烧间上部高热区域抽取，同时降低焚烧炉顶部区域温度。二次空气由二组高速喷嘴喷入燃烧室，在燃烧室内的高温烟气形成紊流，使未完全燃烧的挥发分充分燃烧，降低高温烟气中的CO及其它烟气污染物。炉墙冷却空气由冷却风机从焚烧间抽取，经过炉墙空气层冷却炉墙温度后由一次风管直接吹入炉膛</w:t>
      </w:r>
      <w:r>
        <w:rPr>
          <w:rFonts w:hint="eastAsia"/>
          <w:color w:val="000000" w:themeColor="text1"/>
          <w14:textFill>
            <w14:solidFill>
              <w14:schemeClr w14:val="tx1"/>
            </w14:solidFill>
          </w14:textFill>
        </w:rPr>
        <w:t>。</w:t>
      </w:r>
    </w:p>
    <w:p w14:paraId="0D35BEA4">
      <w:pPr>
        <w:ind w:firstLine="560" w:firstLineChars="200"/>
        <w:rPr>
          <w:color w:val="000000" w:themeColor="text1"/>
          <w14:textFill>
            <w14:solidFill>
              <w14:schemeClr w14:val="tx1"/>
            </w14:solidFill>
          </w14:textFill>
        </w:rPr>
      </w:pPr>
      <w:bookmarkStart w:id="175" w:name="_Toc11417"/>
      <w:r>
        <w:rPr>
          <w:rFonts w:hint="eastAsia"/>
          <w:color w:val="000000" w:themeColor="text1"/>
          <w14:textFill>
            <w14:solidFill>
              <w14:schemeClr w14:val="tx1"/>
            </w14:solidFill>
          </w14:textFill>
        </w:rPr>
        <w:t>3）烟气流程</w:t>
      </w:r>
      <w:bookmarkEnd w:id="175"/>
    </w:p>
    <w:p w14:paraId="61DF632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焚烧炉内的高温烟气顺序通过余热锅炉，烟气净化系统，由引风机抽取并经过烟囱排入大气。本工程烟气净化处理采用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SNCR+半干法（Ca(OH)2）+干法（Ca(OH)2）+活性碳喷射+布袋除尘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的基本组合工艺。</w:t>
      </w:r>
    </w:p>
    <w:p w14:paraId="51EBDD9B">
      <w:pPr>
        <w:ind w:firstLine="560" w:firstLineChars="200"/>
        <w:rPr>
          <w:color w:val="000000" w:themeColor="text1"/>
          <w14:textFill>
            <w14:solidFill>
              <w14:schemeClr w14:val="tx1"/>
            </w14:solidFill>
          </w14:textFill>
        </w:rPr>
      </w:pPr>
      <w:bookmarkStart w:id="176" w:name="_Toc15788"/>
      <w:r>
        <w:rPr>
          <w:rFonts w:hint="eastAsia"/>
          <w:color w:val="000000" w:themeColor="text1"/>
          <w14:textFill>
            <w14:solidFill>
              <w14:schemeClr w14:val="tx1"/>
            </w14:solidFill>
          </w14:textFill>
        </w:rPr>
        <w:t>4）</w:t>
      </w:r>
      <w:r>
        <w:rPr>
          <w:color w:val="000000" w:themeColor="text1"/>
          <w14:textFill>
            <w14:solidFill>
              <w14:schemeClr w14:val="tx1"/>
            </w14:solidFill>
          </w14:textFill>
        </w:rPr>
        <w:t>炉渣流程</w:t>
      </w:r>
      <w:bookmarkEnd w:id="176"/>
    </w:p>
    <w:p w14:paraId="60A1689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生活垃圾焚烧后的炉渣通过炉排尾部的出渣口落入除渣机。炉排漏渣经输送机送往除渣机。锅炉尾部烟道灰斗收集的锅炉灰通过卸灰阀控制进入刮板输送机，输送至除渣机。渣池内的炉渣用抓吊装车后运输至拟建静脉产业园区内的炉渣综合利用项目。条件不具备时候，送至包头市生活垃圾处理中心填埋处理。</w:t>
      </w:r>
    </w:p>
    <w:p w14:paraId="2B3718B1">
      <w:pPr>
        <w:ind w:firstLine="560" w:firstLineChars="200"/>
        <w:rPr>
          <w:color w:val="000000" w:themeColor="text1"/>
          <w14:textFill>
            <w14:solidFill>
              <w14:schemeClr w14:val="tx1"/>
            </w14:solidFill>
          </w14:textFill>
        </w:rPr>
      </w:pPr>
      <w:bookmarkStart w:id="177" w:name="_Toc6783"/>
      <w:r>
        <w:rPr>
          <w:rFonts w:hint="eastAsia"/>
          <w:color w:val="000000" w:themeColor="text1"/>
          <w14:textFill>
            <w14:solidFill>
              <w14:schemeClr w14:val="tx1"/>
            </w14:solidFill>
          </w14:textFill>
        </w:rPr>
        <w:t>5）</w:t>
      </w:r>
      <w:r>
        <w:rPr>
          <w:color w:val="000000" w:themeColor="text1"/>
          <w14:textFill>
            <w14:solidFill>
              <w14:schemeClr w14:val="tx1"/>
            </w14:solidFill>
          </w14:textFill>
        </w:rPr>
        <w:t>飞灰流程</w:t>
      </w:r>
      <w:bookmarkEnd w:id="177"/>
    </w:p>
    <w:p w14:paraId="7BBB06F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烟气净化系统收集的飞灰由余热锅炉、半干法反应塔与布袋除尘器落灰斗收集的飞灰组成。飞灰经一组刮板输送机输送至提升机，由提升机送入灰仓，通过气力输送的方式送至飞灰暂存间灰仓，然后进行飞灰稳定化处理。经过稳定化处理的飞灰用灰渣车送往包头市生活垃圾处理中心填埋处理。</w:t>
      </w:r>
    </w:p>
    <w:p w14:paraId="5107AC5D">
      <w:pPr>
        <w:ind w:firstLine="560" w:firstLineChars="200"/>
        <w:rPr>
          <w:color w:val="000000" w:themeColor="text1"/>
          <w14:textFill>
            <w14:solidFill>
              <w14:schemeClr w14:val="tx1"/>
            </w14:solidFill>
          </w14:textFill>
        </w:rPr>
      </w:pPr>
      <w:bookmarkStart w:id="178" w:name="_Toc17041"/>
      <w:r>
        <w:rPr>
          <w:rFonts w:hint="eastAsia"/>
          <w:color w:val="000000" w:themeColor="text1"/>
          <w14:textFill>
            <w14:solidFill>
              <w14:schemeClr w14:val="tx1"/>
            </w14:solidFill>
          </w14:textFill>
        </w:rPr>
        <w:t>6）</w:t>
      </w:r>
      <w:r>
        <w:rPr>
          <w:color w:val="000000" w:themeColor="text1"/>
          <w14:textFill>
            <w14:solidFill>
              <w14:schemeClr w14:val="tx1"/>
            </w14:solidFill>
          </w14:textFill>
        </w:rPr>
        <w:t>汽水流程</w:t>
      </w:r>
      <w:bookmarkEnd w:id="178"/>
    </w:p>
    <w:p w14:paraId="2E6C5C4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余热锅炉产生的过热蒸汽送至汽轮发电机组。蒸汽在汽轮机中膨胀做功，乏气排入冷凝器。乏汽在冷凝器中凝结成水，由凝结水泵经轴封加热器和低压加热器与锅炉补水分别进入除氧器除氧后暂存到除氧水箱。达到130℃的除氧水经给水泵升压，送入锅炉省煤器。一次风加热用蒸汽分两级供给，一级加热蒸汽采用汽轮机抽汽，二级加热蒸汽采用饱和蒸汽，蒸汽换热后产生的凝结水返至除氧器。</w:t>
      </w:r>
    </w:p>
    <w:p w14:paraId="0E1BF5BE">
      <w:pPr>
        <w:pStyle w:val="12"/>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3675" cy="3398520"/>
            <wp:effectExtent l="0" t="0" r="9525" b="5080"/>
            <wp:docPr id="22" name="图片 22" descr="8abae4a4a8544aad933f73cbb62e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abae4a4a8544aad933f73cbb62e38f"/>
                    <pic:cNvPicPr>
                      <a:picLocks noChangeAspect="1"/>
                    </pic:cNvPicPr>
                  </pic:nvPicPr>
                  <pic:blipFill>
                    <a:blip r:embed="rId32"/>
                    <a:stretch>
                      <a:fillRect/>
                    </a:stretch>
                  </pic:blipFill>
                  <pic:spPr>
                    <a:xfrm>
                      <a:off x="0" y="0"/>
                      <a:ext cx="5273675" cy="3398520"/>
                    </a:xfrm>
                    <a:prstGeom prst="rect">
                      <a:avLst/>
                    </a:prstGeom>
                  </pic:spPr>
                </pic:pic>
              </a:graphicData>
            </a:graphic>
          </wp:inline>
        </w:drawing>
      </w:r>
    </w:p>
    <w:p w14:paraId="61AF427A">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工艺流程图</w:t>
      </w:r>
    </w:p>
    <w:p w14:paraId="1B9634F7">
      <w:pPr>
        <w:pStyle w:val="7"/>
        <w:ind w:firstLine="562"/>
        <w:outlineLvl w:val="1"/>
        <w:rPr>
          <w:color w:val="000000" w:themeColor="text1"/>
          <w14:textFill>
            <w14:solidFill>
              <w14:schemeClr w14:val="tx1"/>
            </w14:solidFill>
          </w14:textFill>
        </w:rPr>
      </w:pPr>
      <w:bookmarkStart w:id="179" w:name="_Toc20600"/>
      <w:r>
        <w:rPr>
          <w:rFonts w:hint="eastAsia"/>
          <w:color w:val="000000" w:themeColor="text1"/>
          <w14:textFill>
            <w14:solidFill>
              <w14:schemeClr w14:val="tx1"/>
            </w14:solidFill>
          </w14:textFill>
        </w:rPr>
        <w:t>资源和能源利用</w:t>
      </w:r>
      <w:bookmarkEnd w:id="179"/>
    </w:p>
    <w:p w14:paraId="6C7A97C2">
      <w:pPr>
        <w:pStyle w:val="8"/>
        <w:outlineLvl w:val="2"/>
        <w:rPr>
          <w:color w:val="000000" w:themeColor="text1"/>
          <w14:textFill>
            <w14:solidFill>
              <w14:schemeClr w14:val="tx1"/>
            </w14:solidFill>
          </w14:textFill>
        </w:rPr>
      </w:pPr>
      <w:bookmarkStart w:id="180" w:name="_Toc2825"/>
      <w:r>
        <w:rPr>
          <w:rFonts w:hint="eastAsia"/>
          <w:color w:val="000000" w:themeColor="text1"/>
          <w14:textFill>
            <w14:solidFill>
              <w14:schemeClr w14:val="tx1"/>
            </w14:solidFill>
          </w14:textFill>
        </w:rPr>
        <w:t>能耗</w:t>
      </w:r>
      <w:bookmarkEnd w:id="180"/>
    </w:p>
    <w:p w14:paraId="361CD7E0">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能耗指标表</w:t>
      </w:r>
    </w:p>
    <w:tbl>
      <w:tblPr>
        <w:tblStyle w:val="5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9"/>
        <w:gridCol w:w="995"/>
        <w:gridCol w:w="947"/>
        <w:gridCol w:w="1192"/>
        <w:gridCol w:w="803"/>
        <w:gridCol w:w="1781"/>
        <w:gridCol w:w="1590"/>
      </w:tblGrid>
      <w:tr w14:paraId="19D6C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01" w:type="pct"/>
            <w:shd w:val="clear" w:color="auto" w:fill="BDD6EE" w:themeFill="accent1" w:themeFillTint="66"/>
            <w:vAlign w:val="center"/>
          </w:tcPr>
          <w:p w14:paraId="0B928385">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shd w:val="clear" w:color="auto" w:fill="BDD6EE" w:themeFill="accent1" w:themeFillTint="66"/>
            <w:vAlign w:val="center"/>
          </w:tcPr>
          <w:p w14:paraId="0ECC425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能源种</w:t>
            </w:r>
            <w:r>
              <w:rPr>
                <w:rFonts w:hint="eastAsia" w:ascii="仿宋" w:hAnsi="仿宋" w:cs="仿宋"/>
                <w:color w:val="000000" w:themeColor="text1"/>
                <w:sz w:val="24"/>
                <w:szCs w:val="24"/>
                <w14:textFill>
                  <w14:solidFill>
                    <w14:schemeClr w14:val="tx1"/>
                  </w14:solidFill>
                </w14:textFill>
              </w:rPr>
              <w:t>类</w:t>
            </w:r>
          </w:p>
        </w:tc>
        <w:tc>
          <w:tcPr>
            <w:tcW w:w="570" w:type="pct"/>
            <w:shd w:val="clear" w:color="auto" w:fill="BDD6EE" w:themeFill="accent1" w:themeFillTint="66"/>
            <w:vAlign w:val="center"/>
          </w:tcPr>
          <w:p w14:paraId="4D18A4F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单位</w:t>
            </w:r>
          </w:p>
        </w:tc>
        <w:tc>
          <w:tcPr>
            <w:tcW w:w="717" w:type="pct"/>
            <w:shd w:val="clear" w:color="auto" w:fill="BDD6EE" w:themeFill="accent1" w:themeFillTint="66"/>
            <w:vAlign w:val="center"/>
          </w:tcPr>
          <w:p w14:paraId="457E8B6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年需实物</w:t>
            </w:r>
            <w:r>
              <w:rPr>
                <w:rFonts w:hint="eastAsia" w:ascii="仿宋" w:hAnsi="仿宋" w:cs="仿宋"/>
                <w:color w:val="000000" w:themeColor="text1"/>
                <w:sz w:val="24"/>
                <w:szCs w:val="24"/>
                <w14:textFill>
                  <w14:solidFill>
                    <w14:schemeClr w14:val="tx1"/>
                  </w14:solidFill>
                </w14:textFill>
              </w:rPr>
              <w:t>量</w:t>
            </w:r>
          </w:p>
        </w:tc>
        <w:tc>
          <w:tcPr>
            <w:tcW w:w="1553" w:type="pct"/>
            <w:gridSpan w:val="2"/>
            <w:shd w:val="clear" w:color="auto" w:fill="BDD6EE" w:themeFill="accent1" w:themeFillTint="66"/>
            <w:vAlign w:val="center"/>
          </w:tcPr>
          <w:p w14:paraId="22B5B95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折标系数</w:t>
            </w:r>
          </w:p>
        </w:tc>
        <w:tc>
          <w:tcPr>
            <w:tcW w:w="957" w:type="pct"/>
            <w:shd w:val="clear" w:color="auto" w:fill="BDD6EE" w:themeFill="accent1" w:themeFillTint="66"/>
            <w:vAlign w:val="center"/>
          </w:tcPr>
          <w:p w14:paraId="3093314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折标准煤（</w:t>
            </w:r>
            <w:r>
              <w:rPr>
                <w:rFonts w:hint="eastAsia" w:ascii="仿宋" w:hAnsi="仿宋" w:cs="仿宋"/>
                <w:color w:val="000000" w:themeColor="text1"/>
                <w:sz w:val="24"/>
                <w:szCs w:val="24"/>
                <w14:textFill>
                  <w14:solidFill>
                    <w14:schemeClr w14:val="tx1"/>
                  </w14:solidFill>
                </w14:textFill>
              </w:rPr>
              <w:t>tce</w:t>
            </w:r>
            <w:r>
              <w:rPr>
                <w:rFonts w:hint="eastAsia" w:ascii="仿宋" w:hAnsi="仿宋" w:cs="仿宋"/>
                <w:color w:val="000000" w:themeColor="text1"/>
                <w:spacing w:val="9"/>
                <w:sz w:val="24"/>
                <w:szCs w:val="24"/>
                <w14:textFill>
                  <w14:solidFill>
                    <w14:schemeClr w14:val="tx1"/>
                  </w14:solidFill>
                </w14:textFill>
              </w:rPr>
              <w:t>）</w:t>
            </w:r>
          </w:p>
        </w:tc>
      </w:tr>
      <w:tr w14:paraId="490C2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restart"/>
            <w:tcBorders>
              <w:bottom w:val="nil"/>
            </w:tcBorders>
            <w:shd w:val="clear" w:color="auto" w:fill="BDD6EE" w:themeFill="accent1" w:themeFillTint="66"/>
            <w:vAlign w:val="center"/>
          </w:tcPr>
          <w:p w14:paraId="60ABD7AF">
            <w:pPr>
              <w:spacing w:line="240" w:lineRule="auto"/>
              <w:jc w:val="center"/>
              <w:rPr>
                <w:rFonts w:hint="eastAsia" w:ascii="仿宋" w:hAnsi="仿宋" w:cs="仿宋"/>
                <w:color w:val="000000" w:themeColor="text1"/>
                <w:sz w:val="24"/>
                <w:szCs w:val="24"/>
                <w14:textFill>
                  <w14:solidFill>
                    <w14:schemeClr w14:val="tx1"/>
                  </w14:solidFill>
                </w14:textFill>
              </w:rPr>
            </w:pPr>
          </w:p>
          <w:p w14:paraId="3B7E444B">
            <w:pPr>
              <w:spacing w:line="240" w:lineRule="auto"/>
              <w:jc w:val="center"/>
              <w:rPr>
                <w:rFonts w:hint="eastAsia" w:ascii="仿宋" w:hAnsi="仿宋" w:cs="仿宋"/>
                <w:color w:val="000000" w:themeColor="text1"/>
                <w:sz w:val="24"/>
                <w:szCs w:val="24"/>
                <w14:textFill>
                  <w14:solidFill>
                    <w14:schemeClr w14:val="tx1"/>
                  </w14:solidFill>
                </w14:textFill>
              </w:rPr>
            </w:pPr>
          </w:p>
          <w:p w14:paraId="760EC46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输入能</w:t>
            </w:r>
            <w:r>
              <w:rPr>
                <w:rFonts w:hint="eastAsia" w:ascii="仿宋" w:hAnsi="仿宋" w:cs="仿宋"/>
                <w:color w:val="000000" w:themeColor="text1"/>
                <w:spacing w:val="1"/>
                <w:sz w:val="24"/>
                <w:szCs w:val="24"/>
                <w14:textFill>
                  <w14:solidFill>
                    <w14:schemeClr w14:val="tx1"/>
                  </w14:solidFill>
                </w14:textFill>
              </w:rPr>
              <w:t>源</w:t>
            </w:r>
          </w:p>
        </w:tc>
        <w:tc>
          <w:tcPr>
            <w:tcW w:w="599" w:type="pct"/>
            <w:vAlign w:val="center"/>
          </w:tcPr>
          <w:p w14:paraId="2F92082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新水</w:t>
            </w:r>
          </w:p>
        </w:tc>
        <w:tc>
          <w:tcPr>
            <w:tcW w:w="570" w:type="pct"/>
            <w:vAlign w:val="center"/>
          </w:tcPr>
          <w:p w14:paraId="10506EF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万t</w:t>
            </w:r>
          </w:p>
        </w:tc>
        <w:tc>
          <w:tcPr>
            <w:tcW w:w="717" w:type="pct"/>
            <w:vAlign w:val="center"/>
          </w:tcPr>
          <w:p w14:paraId="78BD60D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60.060</w:t>
            </w:r>
          </w:p>
        </w:tc>
        <w:tc>
          <w:tcPr>
            <w:tcW w:w="481" w:type="pct"/>
            <w:vAlign w:val="center"/>
          </w:tcPr>
          <w:p w14:paraId="14397FB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0.085</w:t>
            </w:r>
            <w:r>
              <w:rPr>
                <w:rFonts w:hint="eastAsia" w:ascii="仿宋" w:hAnsi="仿宋" w:cs="仿宋"/>
                <w:color w:val="000000" w:themeColor="text1"/>
                <w:sz w:val="24"/>
                <w:szCs w:val="24"/>
                <w14:textFill>
                  <w14:solidFill>
                    <w14:schemeClr w14:val="tx1"/>
                  </w14:solidFill>
                </w14:textFill>
              </w:rPr>
              <w:t>7</w:t>
            </w:r>
          </w:p>
        </w:tc>
        <w:tc>
          <w:tcPr>
            <w:tcW w:w="1072" w:type="pct"/>
            <w:vAlign w:val="center"/>
          </w:tcPr>
          <w:p w14:paraId="7CE52DF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1"/>
                <w:sz w:val="24"/>
                <w:szCs w:val="24"/>
                <w14:textFill>
                  <w14:solidFill>
                    <w14:schemeClr w14:val="tx1"/>
                  </w14:solidFill>
                </w14:textFill>
              </w:rPr>
              <w:t>/t</w:t>
            </w:r>
          </w:p>
        </w:tc>
        <w:tc>
          <w:tcPr>
            <w:tcW w:w="957" w:type="pct"/>
            <w:vAlign w:val="center"/>
          </w:tcPr>
          <w:p w14:paraId="7F21A6E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51.47</w:t>
            </w:r>
          </w:p>
        </w:tc>
      </w:tr>
      <w:tr w14:paraId="461E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nil"/>
              <w:bottom w:val="nil"/>
            </w:tcBorders>
            <w:shd w:val="clear" w:color="auto" w:fill="BDD6EE" w:themeFill="accent1" w:themeFillTint="66"/>
            <w:vAlign w:val="center"/>
          </w:tcPr>
          <w:p w14:paraId="7373F96D">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Align w:val="center"/>
          </w:tcPr>
          <w:p w14:paraId="4334B00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柴油</w:t>
            </w:r>
          </w:p>
        </w:tc>
        <w:tc>
          <w:tcPr>
            <w:tcW w:w="570" w:type="pct"/>
            <w:vAlign w:val="center"/>
          </w:tcPr>
          <w:p w14:paraId="5752BA7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position w:val="2"/>
                <w:sz w:val="24"/>
                <w:szCs w:val="24"/>
                <w14:textFill>
                  <w14:solidFill>
                    <w14:schemeClr w14:val="tx1"/>
                  </w14:solidFill>
                </w14:textFill>
              </w:rPr>
              <w:t>t</w:t>
            </w:r>
          </w:p>
        </w:tc>
        <w:tc>
          <w:tcPr>
            <w:tcW w:w="717" w:type="pct"/>
            <w:vAlign w:val="center"/>
          </w:tcPr>
          <w:p w14:paraId="1BC8359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200.000</w:t>
            </w:r>
          </w:p>
        </w:tc>
        <w:tc>
          <w:tcPr>
            <w:tcW w:w="481" w:type="pct"/>
            <w:vAlign w:val="center"/>
          </w:tcPr>
          <w:p w14:paraId="6ABD54F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1.4571</w:t>
            </w:r>
          </w:p>
        </w:tc>
        <w:tc>
          <w:tcPr>
            <w:tcW w:w="1072" w:type="pct"/>
            <w:vAlign w:val="center"/>
          </w:tcPr>
          <w:p w14:paraId="7C72A4B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29"/>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kg</w:t>
            </w:r>
          </w:p>
        </w:tc>
        <w:tc>
          <w:tcPr>
            <w:tcW w:w="957" w:type="pct"/>
            <w:vAlign w:val="center"/>
          </w:tcPr>
          <w:p w14:paraId="5526A1E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291.42</w:t>
            </w:r>
          </w:p>
        </w:tc>
      </w:tr>
      <w:tr w14:paraId="5F31A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01" w:type="pct"/>
            <w:vMerge w:val="continue"/>
            <w:tcBorders>
              <w:top w:val="nil"/>
            </w:tcBorders>
            <w:shd w:val="clear" w:color="auto" w:fill="BDD6EE" w:themeFill="accent1" w:themeFillTint="66"/>
            <w:vAlign w:val="center"/>
          </w:tcPr>
          <w:p w14:paraId="2CAA4DDB">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Align w:val="center"/>
          </w:tcPr>
          <w:p w14:paraId="1C79954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生活垃</w:t>
            </w:r>
            <w:r>
              <w:rPr>
                <w:rFonts w:hint="eastAsia" w:ascii="仿宋" w:hAnsi="仿宋" w:cs="仿宋"/>
                <w:color w:val="000000" w:themeColor="text1"/>
                <w:sz w:val="24"/>
                <w:szCs w:val="24"/>
                <w14:textFill>
                  <w14:solidFill>
                    <w14:schemeClr w14:val="tx1"/>
                  </w14:solidFill>
                </w14:textFill>
              </w:rPr>
              <w:t>圾</w:t>
            </w:r>
          </w:p>
        </w:tc>
        <w:tc>
          <w:tcPr>
            <w:tcW w:w="570" w:type="pct"/>
            <w:vAlign w:val="center"/>
          </w:tcPr>
          <w:p w14:paraId="7F6008D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万t</w:t>
            </w:r>
          </w:p>
        </w:tc>
        <w:tc>
          <w:tcPr>
            <w:tcW w:w="717" w:type="pct"/>
            <w:vAlign w:val="center"/>
          </w:tcPr>
          <w:p w14:paraId="2240610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29.200</w:t>
            </w:r>
          </w:p>
        </w:tc>
        <w:tc>
          <w:tcPr>
            <w:tcW w:w="481" w:type="pct"/>
            <w:vAlign w:val="center"/>
          </w:tcPr>
          <w:p w14:paraId="1AD7D8B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0.195</w:t>
            </w:r>
            <w:r>
              <w:rPr>
                <w:rFonts w:hint="eastAsia" w:ascii="仿宋" w:hAnsi="仿宋" w:cs="仿宋"/>
                <w:color w:val="000000" w:themeColor="text1"/>
                <w:sz w:val="24"/>
                <w:szCs w:val="24"/>
                <w14:textFill>
                  <w14:solidFill>
                    <w14:schemeClr w14:val="tx1"/>
                  </w14:solidFill>
                </w14:textFill>
              </w:rPr>
              <w:t>9</w:t>
            </w:r>
          </w:p>
        </w:tc>
        <w:tc>
          <w:tcPr>
            <w:tcW w:w="1072" w:type="pct"/>
            <w:vAlign w:val="center"/>
          </w:tcPr>
          <w:p w14:paraId="65A17F4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29"/>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kg</w:t>
            </w:r>
          </w:p>
        </w:tc>
        <w:tc>
          <w:tcPr>
            <w:tcW w:w="957" w:type="pct"/>
            <w:vAlign w:val="center"/>
          </w:tcPr>
          <w:p w14:paraId="7F9DAE3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57202.80</w:t>
            </w:r>
          </w:p>
        </w:tc>
      </w:tr>
      <w:tr w14:paraId="6AA2C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pct"/>
            <w:tcBorders>
              <w:bottom w:val="single" w:color="auto" w:sz="4" w:space="0"/>
            </w:tcBorders>
            <w:shd w:val="clear" w:color="auto" w:fill="BDD6EE" w:themeFill="accent1" w:themeFillTint="66"/>
          </w:tcPr>
          <w:p w14:paraId="0EE888AE">
            <w:pPr>
              <w:rPr>
                <w:rFonts w:hint="eastAsia" w:ascii="仿宋" w:hAnsi="仿宋" w:cs="仿宋"/>
                <w:color w:val="000000" w:themeColor="text1"/>
                <w:sz w:val="24"/>
                <w:szCs w:val="24"/>
                <w14:textFill>
                  <w14:solidFill>
                    <w14:schemeClr w14:val="tx1"/>
                  </w14:solidFill>
                </w14:textFill>
              </w:rPr>
            </w:pPr>
          </w:p>
        </w:tc>
        <w:tc>
          <w:tcPr>
            <w:tcW w:w="599" w:type="pct"/>
            <w:tcBorders>
              <w:bottom w:val="single" w:color="auto" w:sz="4" w:space="0"/>
            </w:tcBorders>
          </w:tcPr>
          <w:p w14:paraId="09D02852">
            <w:pPr>
              <w:spacing w:before="56" w:line="229" w:lineRule="auto"/>
              <w:ind w:left="30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合计</w:t>
            </w:r>
          </w:p>
        </w:tc>
        <w:tc>
          <w:tcPr>
            <w:tcW w:w="570" w:type="pct"/>
            <w:tcBorders>
              <w:bottom w:val="single" w:color="auto" w:sz="4" w:space="0"/>
            </w:tcBorders>
          </w:tcPr>
          <w:p w14:paraId="11A7929B">
            <w:pPr>
              <w:rPr>
                <w:rFonts w:hint="eastAsia" w:ascii="仿宋" w:hAnsi="仿宋" w:cs="仿宋"/>
                <w:color w:val="000000" w:themeColor="text1"/>
                <w:sz w:val="24"/>
                <w:szCs w:val="24"/>
                <w14:textFill>
                  <w14:solidFill>
                    <w14:schemeClr w14:val="tx1"/>
                  </w14:solidFill>
                </w14:textFill>
              </w:rPr>
            </w:pPr>
          </w:p>
        </w:tc>
        <w:tc>
          <w:tcPr>
            <w:tcW w:w="717" w:type="pct"/>
            <w:tcBorders>
              <w:bottom w:val="single" w:color="auto" w:sz="4" w:space="0"/>
            </w:tcBorders>
          </w:tcPr>
          <w:p w14:paraId="64AFFC5A">
            <w:pPr>
              <w:rPr>
                <w:rFonts w:hint="eastAsia" w:ascii="仿宋" w:hAnsi="仿宋" w:cs="仿宋"/>
                <w:color w:val="000000" w:themeColor="text1"/>
                <w:sz w:val="24"/>
                <w:szCs w:val="24"/>
                <w14:textFill>
                  <w14:solidFill>
                    <w14:schemeClr w14:val="tx1"/>
                  </w14:solidFill>
                </w14:textFill>
              </w:rPr>
            </w:pPr>
          </w:p>
        </w:tc>
        <w:tc>
          <w:tcPr>
            <w:tcW w:w="481" w:type="pct"/>
            <w:tcBorders>
              <w:bottom w:val="single" w:color="auto" w:sz="4" w:space="0"/>
            </w:tcBorders>
          </w:tcPr>
          <w:p w14:paraId="4E7103CD">
            <w:pPr>
              <w:rPr>
                <w:rFonts w:hint="eastAsia" w:ascii="仿宋" w:hAnsi="仿宋" w:cs="仿宋"/>
                <w:color w:val="000000" w:themeColor="text1"/>
                <w:sz w:val="24"/>
                <w:szCs w:val="24"/>
                <w14:textFill>
                  <w14:solidFill>
                    <w14:schemeClr w14:val="tx1"/>
                  </w14:solidFill>
                </w14:textFill>
              </w:rPr>
            </w:pPr>
          </w:p>
        </w:tc>
        <w:tc>
          <w:tcPr>
            <w:tcW w:w="1072" w:type="pct"/>
            <w:tcBorders>
              <w:bottom w:val="single" w:color="auto" w:sz="4" w:space="0"/>
            </w:tcBorders>
          </w:tcPr>
          <w:p w14:paraId="60ABBA05">
            <w:pPr>
              <w:rPr>
                <w:rFonts w:hint="eastAsia" w:ascii="仿宋" w:hAnsi="仿宋" w:cs="仿宋"/>
                <w:color w:val="000000" w:themeColor="text1"/>
                <w:sz w:val="24"/>
                <w:szCs w:val="24"/>
                <w14:textFill>
                  <w14:solidFill>
                    <w14:schemeClr w14:val="tx1"/>
                  </w14:solidFill>
                </w14:textFill>
              </w:rPr>
            </w:pPr>
          </w:p>
        </w:tc>
        <w:tc>
          <w:tcPr>
            <w:tcW w:w="957" w:type="pct"/>
          </w:tcPr>
          <w:p w14:paraId="370C36E5">
            <w:pPr>
              <w:spacing w:before="89" w:line="189" w:lineRule="auto"/>
              <w:ind w:left="45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57545.69</w:t>
            </w:r>
          </w:p>
        </w:tc>
      </w:tr>
      <w:tr w14:paraId="44DF7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restart"/>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0237E76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7"/>
                <w:sz w:val="24"/>
                <w:szCs w:val="24"/>
                <w14:textFill>
                  <w14:solidFill>
                    <w14:schemeClr w14:val="tx1"/>
                  </w14:solidFill>
                </w14:textFill>
              </w:rPr>
              <w:t>输出能</w:t>
            </w:r>
            <w:r>
              <w:rPr>
                <w:rFonts w:hint="eastAsia" w:ascii="仿宋" w:hAnsi="仿宋" w:cs="仿宋"/>
                <w:color w:val="000000" w:themeColor="text1"/>
                <w:spacing w:val="1"/>
                <w:sz w:val="24"/>
                <w:szCs w:val="24"/>
                <w14:textFill>
                  <w14:solidFill>
                    <w14:schemeClr w14:val="tx1"/>
                  </w14:solidFill>
                </w14:textFill>
              </w:rPr>
              <w:t>源</w:t>
            </w:r>
          </w:p>
        </w:tc>
        <w:tc>
          <w:tcPr>
            <w:tcW w:w="599" w:type="pct"/>
            <w:vMerge w:val="restart"/>
            <w:tcBorders>
              <w:top w:val="single" w:color="auto" w:sz="4" w:space="0"/>
              <w:left w:val="single" w:color="auto" w:sz="4" w:space="0"/>
              <w:bottom w:val="single" w:color="auto" w:sz="4" w:space="0"/>
              <w:right w:val="single" w:color="auto" w:sz="4" w:space="0"/>
            </w:tcBorders>
            <w:vAlign w:val="center"/>
          </w:tcPr>
          <w:p w14:paraId="35B4544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2"/>
                <w:sz w:val="24"/>
                <w:szCs w:val="24"/>
                <w14:textFill>
                  <w14:solidFill>
                    <w14:schemeClr w14:val="tx1"/>
                  </w14:solidFill>
                </w14:textFill>
              </w:rPr>
              <w:t>电力</w:t>
            </w:r>
          </w:p>
        </w:tc>
        <w:tc>
          <w:tcPr>
            <w:tcW w:w="570" w:type="pct"/>
            <w:vMerge w:val="restart"/>
            <w:tcBorders>
              <w:top w:val="single" w:color="auto" w:sz="4" w:space="0"/>
              <w:left w:val="single" w:color="auto" w:sz="4" w:space="0"/>
              <w:bottom w:val="single" w:color="auto" w:sz="4" w:space="0"/>
              <w:right w:val="single" w:color="auto" w:sz="4" w:space="0"/>
            </w:tcBorders>
            <w:vAlign w:val="center"/>
          </w:tcPr>
          <w:p w14:paraId="6212BC3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万</w:t>
            </w:r>
            <w:r>
              <w:rPr>
                <w:rFonts w:hint="eastAsia" w:ascii="仿宋" w:hAnsi="仿宋" w:cs="仿宋"/>
                <w:color w:val="000000" w:themeColor="text1"/>
                <w:sz w:val="24"/>
                <w:szCs w:val="24"/>
                <w14:textFill>
                  <w14:solidFill>
                    <w14:schemeClr w14:val="tx1"/>
                  </w14:solidFill>
                </w14:textFill>
              </w:rPr>
              <w:t>kW</w:t>
            </w:r>
            <w:r>
              <w:rPr>
                <w:rFonts w:hint="eastAsia" w:ascii="仿宋" w:hAnsi="仿宋" w:cs="仿宋"/>
                <w:color w:val="000000" w:themeColor="text1"/>
                <w:spacing w:val="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h</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03CB0A8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11680.00</w:t>
            </w:r>
          </w:p>
        </w:tc>
        <w:tc>
          <w:tcPr>
            <w:tcW w:w="481" w:type="pct"/>
            <w:tcBorders>
              <w:top w:val="single" w:color="auto" w:sz="4" w:space="0"/>
              <w:left w:val="single" w:color="auto" w:sz="4" w:space="0"/>
              <w:bottom w:val="single" w:color="auto" w:sz="4" w:space="0"/>
              <w:right w:val="single" w:color="auto" w:sz="4" w:space="0"/>
            </w:tcBorders>
            <w:vAlign w:val="center"/>
          </w:tcPr>
          <w:p w14:paraId="1F5EDB1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0.122</w:t>
            </w:r>
            <w:r>
              <w:rPr>
                <w:rFonts w:hint="eastAsia" w:ascii="仿宋" w:hAnsi="仿宋" w:cs="仿宋"/>
                <w:color w:val="000000" w:themeColor="text1"/>
                <w:sz w:val="24"/>
                <w:szCs w:val="24"/>
                <w14:textFill>
                  <w14:solidFill>
                    <w14:schemeClr w14:val="tx1"/>
                  </w14:solidFill>
                </w14:textFill>
              </w:rPr>
              <w:t>9</w:t>
            </w:r>
          </w:p>
        </w:tc>
        <w:tc>
          <w:tcPr>
            <w:tcW w:w="1072" w:type="pct"/>
            <w:tcBorders>
              <w:top w:val="single" w:color="auto" w:sz="4" w:space="0"/>
              <w:left w:val="single" w:color="auto" w:sz="4" w:space="0"/>
              <w:bottom w:val="single" w:color="auto" w:sz="4" w:space="0"/>
              <w:right w:val="single" w:color="auto" w:sz="4" w:space="0"/>
            </w:tcBorders>
            <w:vAlign w:val="center"/>
          </w:tcPr>
          <w:p w14:paraId="1508E91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0"/>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0"/>
                <w:sz w:val="24"/>
                <w:szCs w:val="24"/>
                <w14:textFill>
                  <w14:solidFill>
                    <w14:schemeClr w14:val="tx1"/>
                  </w14:solidFill>
                </w14:textFill>
              </w:rPr>
              <w:t>当量</w:t>
            </w:r>
            <w:r>
              <w:rPr>
                <w:rFonts w:hint="eastAsia" w:ascii="仿宋" w:hAnsi="仿宋" w:cs="仿宋"/>
                <w:color w:val="000000" w:themeColor="text1"/>
                <w:sz w:val="24"/>
                <w:szCs w:val="24"/>
                <w14:textFill>
                  <w14:solidFill>
                    <w14:schemeClr w14:val="tx1"/>
                  </w14:solidFill>
                </w14:textFill>
              </w:rPr>
              <w:t>值</w:t>
            </w:r>
          </w:p>
        </w:tc>
        <w:tc>
          <w:tcPr>
            <w:tcW w:w="957" w:type="pct"/>
            <w:tcBorders>
              <w:left w:val="single" w:color="auto" w:sz="4" w:space="0"/>
            </w:tcBorders>
            <w:vAlign w:val="center"/>
          </w:tcPr>
          <w:p w14:paraId="11E2CD0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14354.72</w:t>
            </w:r>
          </w:p>
        </w:tc>
      </w:tr>
      <w:tr w14:paraId="69635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4C8A0DF1">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14:paraId="6745AFA3">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70" w:type="pct"/>
            <w:vMerge w:val="continue"/>
            <w:tcBorders>
              <w:top w:val="single" w:color="auto" w:sz="4" w:space="0"/>
              <w:left w:val="single" w:color="auto" w:sz="4" w:space="0"/>
              <w:bottom w:val="single" w:color="auto" w:sz="4" w:space="0"/>
              <w:right w:val="single" w:color="auto" w:sz="4" w:space="0"/>
            </w:tcBorders>
            <w:vAlign w:val="center"/>
          </w:tcPr>
          <w:p w14:paraId="776FFF4A">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1EA1BC7C">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481" w:type="pct"/>
            <w:tcBorders>
              <w:top w:val="single" w:color="auto" w:sz="4" w:space="0"/>
              <w:left w:val="single" w:color="auto" w:sz="4" w:space="0"/>
              <w:bottom w:val="single" w:color="auto" w:sz="4" w:space="0"/>
              <w:right w:val="single" w:color="auto" w:sz="4" w:space="0"/>
            </w:tcBorders>
            <w:vAlign w:val="center"/>
          </w:tcPr>
          <w:p w14:paraId="3DC8AB9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0.330</w:t>
            </w:r>
            <w:r>
              <w:rPr>
                <w:rFonts w:hint="eastAsia" w:ascii="仿宋" w:hAnsi="仿宋" w:cs="仿宋"/>
                <w:color w:val="000000" w:themeColor="text1"/>
                <w:sz w:val="24"/>
                <w:szCs w:val="24"/>
                <w14:textFill>
                  <w14:solidFill>
                    <w14:schemeClr w14:val="tx1"/>
                  </w14:solidFill>
                </w14:textFill>
              </w:rPr>
              <w:t>0</w:t>
            </w:r>
          </w:p>
        </w:tc>
        <w:tc>
          <w:tcPr>
            <w:tcW w:w="1072" w:type="pct"/>
            <w:tcBorders>
              <w:top w:val="single" w:color="auto" w:sz="4" w:space="0"/>
              <w:left w:val="single" w:color="auto" w:sz="4" w:space="0"/>
              <w:bottom w:val="single" w:color="auto" w:sz="4" w:space="0"/>
              <w:right w:val="single" w:color="auto" w:sz="4" w:space="0"/>
            </w:tcBorders>
            <w:vAlign w:val="center"/>
          </w:tcPr>
          <w:p w14:paraId="566C028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4"/>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4"/>
                <w:sz w:val="24"/>
                <w:szCs w:val="24"/>
                <w14:textFill>
                  <w14:solidFill>
                    <w14:schemeClr w14:val="tx1"/>
                  </w14:solidFill>
                </w14:textFill>
              </w:rPr>
              <w:t>等价</w:t>
            </w:r>
            <w:r>
              <w:rPr>
                <w:rFonts w:hint="eastAsia" w:ascii="仿宋" w:hAnsi="仿宋" w:cs="仿宋"/>
                <w:color w:val="000000" w:themeColor="text1"/>
                <w:sz w:val="24"/>
                <w:szCs w:val="24"/>
                <w14:textFill>
                  <w14:solidFill>
                    <w14:schemeClr w14:val="tx1"/>
                  </w14:solidFill>
                </w14:textFill>
              </w:rPr>
              <w:t>值</w:t>
            </w:r>
          </w:p>
        </w:tc>
        <w:tc>
          <w:tcPr>
            <w:tcW w:w="957" w:type="pct"/>
            <w:tcBorders>
              <w:left w:val="single" w:color="auto" w:sz="4" w:space="0"/>
            </w:tcBorders>
            <w:vAlign w:val="center"/>
          </w:tcPr>
          <w:p w14:paraId="08A97E6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38544.00</w:t>
            </w:r>
          </w:p>
        </w:tc>
      </w:tr>
      <w:tr w14:paraId="31958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221A97C0">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Merge w:val="restart"/>
            <w:tcBorders>
              <w:top w:val="single" w:color="auto" w:sz="4" w:space="0"/>
              <w:left w:val="single" w:color="auto" w:sz="4" w:space="0"/>
              <w:bottom w:val="single" w:color="auto" w:sz="4" w:space="0"/>
              <w:right w:val="single" w:color="auto" w:sz="4" w:space="0"/>
            </w:tcBorders>
            <w:vAlign w:val="center"/>
          </w:tcPr>
          <w:p w14:paraId="713C5C3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5"/>
                <w:sz w:val="24"/>
                <w:szCs w:val="24"/>
                <w14:textFill>
                  <w14:solidFill>
                    <w14:schemeClr w14:val="tx1"/>
                  </w14:solidFill>
                </w14:textFill>
              </w:rPr>
              <w:t>自用电</w:t>
            </w:r>
          </w:p>
        </w:tc>
        <w:tc>
          <w:tcPr>
            <w:tcW w:w="570" w:type="pct"/>
            <w:vMerge w:val="restart"/>
            <w:tcBorders>
              <w:top w:val="single" w:color="auto" w:sz="4" w:space="0"/>
              <w:left w:val="single" w:color="auto" w:sz="4" w:space="0"/>
              <w:bottom w:val="single" w:color="auto" w:sz="4" w:space="0"/>
              <w:right w:val="single" w:color="auto" w:sz="4" w:space="0"/>
            </w:tcBorders>
            <w:vAlign w:val="center"/>
          </w:tcPr>
          <w:p w14:paraId="33AB98E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万</w:t>
            </w:r>
            <w:r>
              <w:rPr>
                <w:rFonts w:hint="eastAsia" w:ascii="仿宋" w:hAnsi="仿宋" w:cs="仿宋"/>
                <w:color w:val="000000" w:themeColor="text1"/>
                <w:sz w:val="24"/>
                <w:szCs w:val="24"/>
                <w14:textFill>
                  <w14:solidFill>
                    <w14:schemeClr w14:val="tx1"/>
                  </w14:solidFill>
                </w14:textFill>
              </w:rPr>
              <w:t>kW</w:t>
            </w:r>
            <w:r>
              <w:rPr>
                <w:rFonts w:hint="eastAsia" w:ascii="仿宋" w:hAnsi="仿宋" w:cs="仿宋"/>
                <w:color w:val="000000" w:themeColor="text1"/>
                <w:spacing w:val="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h</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5915C2C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2336.00</w:t>
            </w:r>
          </w:p>
        </w:tc>
        <w:tc>
          <w:tcPr>
            <w:tcW w:w="481" w:type="pct"/>
            <w:tcBorders>
              <w:top w:val="single" w:color="auto" w:sz="4" w:space="0"/>
              <w:left w:val="single" w:color="auto" w:sz="4" w:space="0"/>
              <w:bottom w:val="single" w:color="auto" w:sz="4" w:space="0"/>
              <w:right w:val="single" w:color="auto" w:sz="4" w:space="0"/>
            </w:tcBorders>
            <w:vAlign w:val="center"/>
          </w:tcPr>
          <w:p w14:paraId="32DE964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0.122</w:t>
            </w:r>
            <w:r>
              <w:rPr>
                <w:rFonts w:hint="eastAsia" w:ascii="仿宋" w:hAnsi="仿宋" w:cs="仿宋"/>
                <w:color w:val="000000" w:themeColor="text1"/>
                <w:sz w:val="24"/>
                <w:szCs w:val="24"/>
                <w14:textFill>
                  <w14:solidFill>
                    <w14:schemeClr w14:val="tx1"/>
                  </w14:solidFill>
                </w14:textFill>
              </w:rPr>
              <w:t>9</w:t>
            </w:r>
          </w:p>
        </w:tc>
        <w:tc>
          <w:tcPr>
            <w:tcW w:w="1072" w:type="pct"/>
            <w:tcBorders>
              <w:top w:val="single" w:color="auto" w:sz="4" w:space="0"/>
              <w:left w:val="single" w:color="auto" w:sz="4" w:space="0"/>
              <w:bottom w:val="single" w:color="auto" w:sz="4" w:space="0"/>
              <w:right w:val="single" w:color="auto" w:sz="4" w:space="0"/>
            </w:tcBorders>
            <w:vAlign w:val="center"/>
          </w:tcPr>
          <w:p w14:paraId="2038D66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0"/>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0"/>
                <w:sz w:val="24"/>
                <w:szCs w:val="24"/>
                <w14:textFill>
                  <w14:solidFill>
                    <w14:schemeClr w14:val="tx1"/>
                  </w14:solidFill>
                </w14:textFill>
              </w:rPr>
              <w:t>当量</w:t>
            </w:r>
            <w:r>
              <w:rPr>
                <w:rFonts w:hint="eastAsia" w:ascii="仿宋" w:hAnsi="仿宋" w:cs="仿宋"/>
                <w:color w:val="000000" w:themeColor="text1"/>
                <w:sz w:val="24"/>
                <w:szCs w:val="24"/>
                <w14:textFill>
                  <w14:solidFill>
                    <w14:schemeClr w14:val="tx1"/>
                  </w14:solidFill>
                </w14:textFill>
              </w:rPr>
              <w:t>值</w:t>
            </w:r>
          </w:p>
        </w:tc>
        <w:tc>
          <w:tcPr>
            <w:tcW w:w="957" w:type="pct"/>
            <w:tcBorders>
              <w:left w:val="single" w:color="auto" w:sz="4" w:space="0"/>
            </w:tcBorders>
            <w:vAlign w:val="center"/>
          </w:tcPr>
          <w:p w14:paraId="3F86CDE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2870.94</w:t>
            </w:r>
          </w:p>
        </w:tc>
      </w:tr>
      <w:tr w14:paraId="0F538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50D485D7">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14:paraId="041F796D">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70" w:type="pct"/>
            <w:vMerge w:val="continue"/>
            <w:tcBorders>
              <w:top w:val="single" w:color="auto" w:sz="4" w:space="0"/>
              <w:left w:val="single" w:color="auto" w:sz="4" w:space="0"/>
              <w:bottom w:val="single" w:color="auto" w:sz="4" w:space="0"/>
              <w:right w:val="single" w:color="auto" w:sz="4" w:space="0"/>
            </w:tcBorders>
            <w:vAlign w:val="center"/>
          </w:tcPr>
          <w:p w14:paraId="468208CA">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717" w:type="pct"/>
            <w:vMerge w:val="continue"/>
            <w:tcBorders>
              <w:top w:val="single" w:color="auto" w:sz="4" w:space="0"/>
              <w:left w:val="single" w:color="auto" w:sz="4" w:space="0"/>
              <w:bottom w:val="single" w:color="auto" w:sz="4" w:space="0"/>
              <w:right w:val="single" w:color="auto" w:sz="4" w:space="0"/>
            </w:tcBorders>
            <w:vAlign w:val="center"/>
          </w:tcPr>
          <w:p w14:paraId="0597FE16">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481" w:type="pct"/>
            <w:tcBorders>
              <w:top w:val="single" w:color="auto" w:sz="4" w:space="0"/>
              <w:left w:val="single" w:color="auto" w:sz="4" w:space="0"/>
              <w:bottom w:val="single" w:color="auto" w:sz="4" w:space="0"/>
              <w:right w:val="single" w:color="auto" w:sz="4" w:space="0"/>
            </w:tcBorders>
            <w:vAlign w:val="center"/>
          </w:tcPr>
          <w:p w14:paraId="32FB372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0.330</w:t>
            </w:r>
            <w:r>
              <w:rPr>
                <w:rFonts w:hint="eastAsia" w:ascii="仿宋" w:hAnsi="仿宋" w:cs="仿宋"/>
                <w:color w:val="000000" w:themeColor="text1"/>
                <w:sz w:val="24"/>
                <w:szCs w:val="24"/>
                <w14:textFill>
                  <w14:solidFill>
                    <w14:schemeClr w14:val="tx1"/>
                  </w14:solidFill>
                </w14:textFill>
              </w:rPr>
              <w:t>0</w:t>
            </w:r>
          </w:p>
        </w:tc>
        <w:tc>
          <w:tcPr>
            <w:tcW w:w="1072" w:type="pct"/>
            <w:tcBorders>
              <w:top w:val="single" w:color="auto" w:sz="4" w:space="0"/>
              <w:left w:val="single" w:color="auto" w:sz="4" w:space="0"/>
              <w:bottom w:val="single" w:color="auto" w:sz="4" w:space="0"/>
              <w:right w:val="single" w:color="auto" w:sz="4" w:space="0"/>
            </w:tcBorders>
            <w:vAlign w:val="center"/>
          </w:tcPr>
          <w:p w14:paraId="6A7FD6F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4"/>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4"/>
                <w:sz w:val="24"/>
                <w:szCs w:val="24"/>
                <w14:textFill>
                  <w14:solidFill>
                    <w14:schemeClr w14:val="tx1"/>
                  </w14:solidFill>
                </w14:textFill>
              </w:rPr>
              <w:t>等价</w:t>
            </w:r>
            <w:r>
              <w:rPr>
                <w:rFonts w:hint="eastAsia" w:ascii="仿宋" w:hAnsi="仿宋" w:cs="仿宋"/>
                <w:color w:val="000000" w:themeColor="text1"/>
                <w:sz w:val="24"/>
                <w:szCs w:val="24"/>
                <w14:textFill>
                  <w14:solidFill>
                    <w14:schemeClr w14:val="tx1"/>
                  </w14:solidFill>
                </w14:textFill>
              </w:rPr>
              <w:t>值</w:t>
            </w:r>
          </w:p>
        </w:tc>
        <w:tc>
          <w:tcPr>
            <w:tcW w:w="957" w:type="pct"/>
            <w:tcBorders>
              <w:left w:val="single" w:color="auto" w:sz="4" w:space="0"/>
            </w:tcBorders>
            <w:vAlign w:val="center"/>
          </w:tcPr>
          <w:p w14:paraId="4566AEF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7708.80</w:t>
            </w:r>
          </w:p>
        </w:tc>
      </w:tr>
      <w:tr w14:paraId="23BCF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116A9E31">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Merge w:val="restart"/>
            <w:tcBorders>
              <w:top w:val="single" w:color="auto" w:sz="4" w:space="0"/>
              <w:left w:val="single" w:color="auto" w:sz="4" w:space="0"/>
              <w:bottom w:val="single" w:color="auto" w:sz="4" w:space="0"/>
              <w:right w:val="single" w:color="auto" w:sz="4" w:space="0"/>
            </w:tcBorders>
            <w:vAlign w:val="center"/>
          </w:tcPr>
          <w:p w14:paraId="424379F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供电量</w:t>
            </w:r>
          </w:p>
        </w:tc>
        <w:tc>
          <w:tcPr>
            <w:tcW w:w="570" w:type="pct"/>
            <w:vMerge w:val="restart"/>
            <w:tcBorders>
              <w:top w:val="single" w:color="auto" w:sz="4" w:space="0"/>
              <w:left w:val="single" w:color="auto" w:sz="4" w:space="0"/>
              <w:bottom w:val="single" w:color="auto" w:sz="4" w:space="0"/>
              <w:right w:val="single" w:color="auto" w:sz="4" w:space="0"/>
            </w:tcBorders>
            <w:vAlign w:val="center"/>
          </w:tcPr>
          <w:p w14:paraId="31AAF37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万</w:t>
            </w:r>
            <w:r>
              <w:rPr>
                <w:rFonts w:hint="eastAsia" w:ascii="仿宋" w:hAnsi="仿宋" w:cs="仿宋"/>
                <w:color w:val="000000" w:themeColor="text1"/>
                <w:sz w:val="24"/>
                <w:szCs w:val="24"/>
                <w14:textFill>
                  <w14:solidFill>
                    <w14:schemeClr w14:val="tx1"/>
                  </w14:solidFill>
                </w14:textFill>
              </w:rPr>
              <w:t>kW</w:t>
            </w:r>
            <w:r>
              <w:rPr>
                <w:rFonts w:hint="eastAsia" w:ascii="仿宋" w:hAnsi="仿宋" w:cs="仿宋"/>
                <w:color w:val="000000" w:themeColor="text1"/>
                <w:spacing w:val="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h</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064AE3F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9344.00</w:t>
            </w:r>
          </w:p>
        </w:tc>
        <w:tc>
          <w:tcPr>
            <w:tcW w:w="481" w:type="pct"/>
            <w:tcBorders>
              <w:top w:val="single" w:color="auto" w:sz="4" w:space="0"/>
              <w:left w:val="single" w:color="auto" w:sz="4" w:space="0"/>
              <w:bottom w:val="single" w:color="auto" w:sz="4" w:space="0"/>
              <w:right w:val="single" w:color="auto" w:sz="4" w:space="0"/>
            </w:tcBorders>
            <w:vAlign w:val="center"/>
          </w:tcPr>
          <w:p w14:paraId="0217418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0.122</w:t>
            </w:r>
            <w:r>
              <w:rPr>
                <w:rFonts w:hint="eastAsia" w:ascii="仿宋" w:hAnsi="仿宋" w:cs="仿宋"/>
                <w:color w:val="000000" w:themeColor="text1"/>
                <w:sz w:val="24"/>
                <w:szCs w:val="24"/>
                <w14:textFill>
                  <w14:solidFill>
                    <w14:schemeClr w14:val="tx1"/>
                  </w14:solidFill>
                </w14:textFill>
              </w:rPr>
              <w:t>9</w:t>
            </w:r>
          </w:p>
        </w:tc>
        <w:tc>
          <w:tcPr>
            <w:tcW w:w="1072" w:type="pct"/>
            <w:tcBorders>
              <w:top w:val="single" w:color="auto" w:sz="4" w:space="0"/>
              <w:left w:val="single" w:color="auto" w:sz="4" w:space="0"/>
              <w:bottom w:val="single" w:color="auto" w:sz="4" w:space="0"/>
              <w:right w:val="single" w:color="auto" w:sz="4" w:space="0"/>
            </w:tcBorders>
            <w:vAlign w:val="center"/>
          </w:tcPr>
          <w:p w14:paraId="5138F17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0"/>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0"/>
                <w:sz w:val="24"/>
                <w:szCs w:val="24"/>
                <w14:textFill>
                  <w14:solidFill>
                    <w14:schemeClr w14:val="tx1"/>
                  </w14:solidFill>
                </w14:textFill>
              </w:rPr>
              <w:t>当量</w:t>
            </w:r>
            <w:r>
              <w:rPr>
                <w:rFonts w:hint="eastAsia" w:ascii="仿宋" w:hAnsi="仿宋" w:cs="仿宋"/>
                <w:color w:val="000000" w:themeColor="text1"/>
                <w:sz w:val="24"/>
                <w:szCs w:val="24"/>
                <w14:textFill>
                  <w14:solidFill>
                    <w14:schemeClr w14:val="tx1"/>
                  </w14:solidFill>
                </w14:textFill>
              </w:rPr>
              <w:t>值</w:t>
            </w:r>
          </w:p>
        </w:tc>
        <w:tc>
          <w:tcPr>
            <w:tcW w:w="957" w:type="pct"/>
            <w:tcBorders>
              <w:left w:val="single" w:color="auto" w:sz="4" w:space="0"/>
            </w:tcBorders>
            <w:vAlign w:val="center"/>
          </w:tcPr>
          <w:p w14:paraId="109448E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11483.78</w:t>
            </w:r>
          </w:p>
        </w:tc>
      </w:tr>
      <w:tr w14:paraId="19A98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pct"/>
            <w:vMerge w:val="continue"/>
            <w:tcBorders>
              <w:top w:val="single" w:color="auto" w:sz="4" w:space="0"/>
              <w:left w:val="single" w:color="auto" w:sz="4" w:space="0"/>
            </w:tcBorders>
            <w:shd w:val="clear" w:color="auto" w:fill="BDD6EE" w:themeFill="accent1" w:themeFillTint="66"/>
            <w:vAlign w:val="center"/>
          </w:tcPr>
          <w:p w14:paraId="227A349C">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99" w:type="pct"/>
            <w:vMerge w:val="continue"/>
            <w:tcBorders>
              <w:top w:val="single" w:color="auto" w:sz="4" w:space="0"/>
            </w:tcBorders>
            <w:vAlign w:val="center"/>
          </w:tcPr>
          <w:p w14:paraId="4541070F">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570" w:type="pct"/>
            <w:vMerge w:val="continue"/>
            <w:tcBorders>
              <w:top w:val="single" w:color="auto" w:sz="4" w:space="0"/>
            </w:tcBorders>
            <w:vAlign w:val="center"/>
          </w:tcPr>
          <w:p w14:paraId="6AB8A1BD">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717" w:type="pct"/>
            <w:vMerge w:val="continue"/>
            <w:tcBorders>
              <w:top w:val="single" w:color="auto" w:sz="4" w:space="0"/>
            </w:tcBorders>
            <w:vAlign w:val="center"/>
          </w:tcPr>
          <w:p w14:paraId="4821C0F4">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481" w:type="pct"/>
            <w:tcBorders>
              <w:top w:val="single" w:color="auto" w:sz="4" w:space="0"/>
            </w:tcBorders>
            <w:vAlign w:val="center"/>
          </w:tcPr>
          <w:p w14:paraId="51F41CB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0.330</w:t>
            </w:r>
            <w:r>
              <w:rPr>
                <w:rFonts w:hint="eastAsia" w:ascii="仿宋" w:hAnsi="仿宋" w:cs="仿宋"/>
                <w:color w:val="000000" w:themeColor="text1"/>
                <w:sz w:val="24"/>
                <w:szCs w:val="24"/>
                <w14:textFill>
                  <w14:solidFill>
                    <w14:schemeClr w14:val="tx1"/>
                  </w14:solidFill>
                </w14:textFill>
              </w:rPr>
              <w:t>0</w:t>
            </w:r>
          </w:p>
        </w:tc>
        <w:tc>
          <w:tcPr>
            <w:tcW w:w="1072" w:type="pct"/>
            <w:tcBorders>
              <w:top w:val="single" w:color="auto" w:sz="4" w:space="0"/>
            </w:tcBorders>
            <w:vAlign w:val="center"/>
          </w:tcPr>
          <w:p w14:paraId="1CFD9A2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kgce</w:t>
            </w:r>
            <w:r>
              <w:rPr>
                <w:rFonts w:hint="eastAsia" w:ascii="仿宋" w:hAnsi="仿宋" w:cs="仿宋"/>
                <w:color w:val="000000" w:themeColor="text1"/>
                <w:spacing w:val="14"/>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kwh</w:t>
            </w:r>
            <w:r>
              <w:rPr>
                <w:rFonts w:hint="eastAsia" w:ascii="仿宋" w:hAnsi="仿宋" w:cs="仿宋"/>
                <w:color w:val="000000" w:themeColor="text1"/>
                <w:spacing w:val="14"/>
                <w:sz w:val="24"/>
                <w:szCs w:val="24"/>
                <w14:textFill>
                  <w14:solidFill>
                    <w14:schemeClr w14:val="tx1"/>
                  </w14:solidFill>
                </w14:textFill>
              </w:rPr>
              <w:t>等价</w:t>
            </w:r>
            <w:r>
              <w:rPr>
                <w:rFonts w:hint="eastAsia" w:ascii="仿宋" w:hAnsi="仿宋" w:cs="仿宋"/>
                <w:color w:val="000000" w:themeColor="text1"/>
                <w:sz w:val="24"/>
                <w:szCs w:val="24"/>
                <w14:textFill>
                  <w14:solidFill>
                    <w14:schemeClr w14:val="tx1"/>
                  </w14:solidFill>
                </w14:textFill>
              </w:rPr>
              <w:t>值</w:t>
            </w:r>
          </w:p>
        </w:tc>
        <w:tc>
          <w:tcPr>
            <w:tcW w:w="957" w:type="pct"/>
            <w:vAlign w:val="center"/>
          </w:tcPr>
          <w:p w14:paraId="480F9A9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30835.20</w:t>
            </w:r>
          </w:p>
        </w:tc>
      </w:tr>
      <w:tr w14:paraId="694F5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0" w:type="pct"/>
            <w:gridSpan w:val="5"/>
            <w:vMerge w:val="restart"/>
            <w:tcBorders>
              <w:top w:val="single" w:color="auto" w:sz="4" w:space="0"/>
              <w:left w:val="single" w:color="auto" w:sz="4" w:space="0"/>
              <w:bottom w:val="single" w:color="auto" w:sz="4" w:space="0"/>
              <w:right w:val="single" w:color="auto" w:sz="4" w:space="0"/>
            </w:tcBorders>
            <w:vAlign w:val="center"/>
          </w:tcPr>
          <w:p w14:paraId="1707AE3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9"/>
                <w:sz w:val="24"/>
                <w:szCs w:val="24"/>
                <w14:textFill>
                  <w14:solidFill>
                    <w14:schemeClr w14:val="tx1"/>
                  </w14:solidFill>
                </w14:textFill>
              </w:rPr>
              <w:t>项目年实际综合能源消耗量/</w:t>
            </w:r>
            <w:r>
              <w:rPr>
                <w:rFonts w:hint="eastAsia" w:ascii="仿宋" w:hAnsi="仿宋" w:cs="仿宋"/>
                <w:color w:val="000000" w:themeColor="text1"/>
                <w:sz w:val="24"/>
                <w:szCs w:val="24"/>
                <w14:textFill>
                  <w14:solidFill>
                    <w14:schemeClr w14:val="tx1"/>
                  </w14:solidFill>
                </w14:textFill>
              </w:rPr>
              <w:t>tce</w:t>
            </w:r>
          </w:p>
        </w:tc>
        <w:tc>
          <w:tcPr>
            <w:tcW w:w="1072" w:type="pct"/>
            <w:tcBorders>
              <w:top w:val="single" w:color="auto" w:sz="4" w:space="0"/>
              <w:left w:val="single" w:color="auto" w:sz="4" w:space="0"/>
              <w:bottom w:val="single" w:color="auto" w:sz="4" w:space="0"/>
              <w:right w:val="single" w:color="auto" w:sz="4" w:space="0"/>
            </w:tcBorders>
            <w:vAlign w:val="center"/>
          </w:tcPr>
          <w:p w14:paraId="1CB3861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当量值</w:t>
            </w:r>
          </w:p>
        </w:tc>
        <w:tc>
          <w:tcPr>
            <w:tcW w:w="957" w:type="pct"/>
            <w:tcBorders>
              <w:left w:val="single" w:color="auto" w:sz="4" w:space="0"/>
            </w:tcBorders>
            <w:vAlign w:val="center"/>
          </w:tcPr>
          <w:p w14:paraId="2E2C01D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46061.92</w:t>
            </w:r>
          </w:p>
        </w:tc>
      </w:tr>
      <w:tr w14:paraId="0089F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970" w:type="pct"/>
            <w:gridSpan w:val="5"/>
            <w:vMerge w:val="continue"/>
            <w:tcBorders>
              <w:top w:val="single" w:color="auto" w:sz="4" w:space="0"/>
              <w:left w:val="single" w:color="auto" w:sz="4" w:space="0"/>
              <w:bottom w:val="single" w:color="auto" w:sz="4" w:space="0"/>
              <w:right w:val="single" w:color="auto" w:sz="4" w:space="0"/>
            </w:tcBorders>
            <w:vAlign w:val="center"/>
          </w:tcPr>
          <w:p w14:paraId="236F18FB">
            <w:pPr>
              <w:spacing w:line="240" w:lineRule="auto"/>
              <w:jc w:val="center"/>
              <w:rPr>
                <w:rFonts w:hint="eastAsia" w:ascii="仿宋" w:hAnsi="仿宋" w:cs="仿宋"/>
                <w:color w:val="000000" w:themeColor="text1"/>
                <w:sz w:val="24"/>
                <w:szCs w:val="24"/>
                <w14:textFill>
                  <w14:solidFill>
                    <w14:schemeClr w14:val="tx1"/>
                  </w14:solidFill>
                </w14:textFill>
              </w:rPr>
            </w:pPr>
          </w:p>
        </w:tc>
        <w:tc>
          <w:tcPr>
            <w:tcW w:w="1072" w:type="pct"/>
            <w:tcBorders>
              <w:top w:val="single" w:color="auto" w:sz="4" w:space="0"/>
              <w:left w:val="single" w:color="auto" w:sz="4" w:space="0"/>
              <w:bottom w:val="single" w:color="auto" w:sz="4" w:space="0"/>
              <w:right w:val="single" w:color="auto" w:sz="4" w:space="0"/>
            </w:tcBorders>
            <w:vAlign w:val="center"/>
          </w:tcPr>
          <w:p w14:paraId="781E234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等价值</w:t>
            </w:r>
          </w:p>
        </w:tc>
        <w:tc>
          <w:tcPr>
            <w:tcW w:w="957" w:type="pct"/>
            <w:tcBorders>
              <w:left w:val="single" w:color="auto" w:sz="4" w:space="0"/>
            </w:tcBorders>
            <w:vAlign w:val="center"/>
          </w:tcPr>
          <w:p w14:paraId="373B7F2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26710.49</w:t>
            </w:r>
          </w:p>
        </w:tc>
      </w:tr>
    </w:tbl>
    <w:p w14:paraId="47A886C1">
      <w:pPr>
        <w:numPr>
          <w:ilvl w:val="255"/>
          <w:numId w:val="0"/>
        </w:numPr>
        <w:ind w:left="560" w:leftChars="200"/>
        <w:rPr>
          <w:rFonts w:hint="eastAsia" w:ascii="宋体" w:hAnsi="宋体" w:eastAsia="宋体" w:cs="宋体"/>
          <w:color w:val="000000" w:themeColor="text1"/>
          <w:sz w:val="24"/>
          <w:szCs w:val="24"/>
          <w14:textFill>
            <w14:solidFill>
              <w14:schemeClr w14:val="tx1"/>
            </w14:solidFill>
          </w14:textFill>
        </w:rPr>
      </w:pPr>
    </w:p>
    <w:p w14:paraId="2746718F">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根据上述条件，计算项目年综合能源消费量为46061.92tce（当量值），26710.49tce（等价值）。</w:t>
      </w:r>
    </w:p>
    <w:p w14:paraId="547F38EA">
      <w:pPr>
        <w:pStyle w:val="8"/>
        <w:outlineLvl w:val="2"/>
        <w:rPr>
          <w:color w:val="000000" w:themeColor="text1"/>
          <w14:textFill>
            <w14:solidFill>
              <w14:schemeClr w14:val="tx1"/>
            </w14:solidFill>
          </w14:textFill>
        </w:rPr>
      </w:pPr>
      <w:bookmarkStart w:id="181" w:name="_Toc5802"/>
      <w:r>
        <w:rPr>
          <w:rFonts w:hint="eastAsia"/>
          <w:color w:val="000000" w:themeColor="text1"/>
          <w14:textFill>
            <w14:solidFill>
              <w14:schemeClr w14:val="tx1"/>
            </w14:solidFill>
          </w14:textFill>
        </w:rPr>
        <w:t>资源节约措施</w:t>
      </w:r>
      <w:bookmarkEnd w:id="181"/>
    </w:p>
    <w:p w14:paraId="2FB74B2A">
      <w:pPr>
        <w:numPr>
          <w:ilvl w:val="0"/>
          <w:numId w:val="5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节水方案</w:t>
      </w:r>
    </w:p>
    <w:p w14:paraId="25CB6227">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共卫生间的大便器、小便器均采用自闭式、感应式冲洗阀，洗手盆采用交流感应式或延时自闭式水龙头，其产品的技术性能符合国家城镇建设行业标准《节水型生活用水器具》CJ164-2014的要求，符合标准条文规定的生活用水器具；</w:t>
      </w:r>
    </w:p>
    <w:p w14:paraId="0681281F">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所有水池和水箱设置超高水位报警功能，防止进水管阀门故障时水池和水箱长时间溢流排水；</w:t>
      </w:r>
    </w:p>
    <w:p w14:paraId="23ECD859">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人行路面等可采用多种多样的透水、透空砖，绿地草坪建设可低于路面相应高度，以有效收集降雨、减少地面迳流，从而补充土壤和地下水。厂区园林绿地采用现代灌溉技术如：喷灌、滴灌乃至地下滴灌等节水型灌溉方式。</w:t>
      </w:r>
    </w:p>
    <w:p w14:paraId="503492D1">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阀门选用高性能零渗漏阀门，加强对供水管道状况及各个阀门连接部分状态的检查，减少管道的跑、冒、滴、漏，降低管网水损失。</w:t>
      </w:r>
    </w:p>
    <w:p w14:paraId="0BF13685">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当汽机处于盘车状态时，锅炉产生的蒸汽可经汽机凝汽器后循环使用，以免蒸汽排入大气损失水量。</w:t>
      </w:r>
    </w:p>
    <w:p w14:paraId="3FC53095">
      <w:pPr>
        <w:numPr>
          <w:ilvl w:val="0"/>
          <w:numId w:val="53"/>
        </w:numPr>
        <w:rPr>
          <w:color w:val="000000" w:themeColor="text1"/>
          <w14:textFill>
            <w14:solidFill>
              <w14:schemeClr w14:val="tx1"/>
            </w14:solidFill>
          </w14:textFill>
        </w:rPr>
      </w:pPr>
      <w:r>
        <w:rPr>
          <w:rFonts w:hint="eastAsia"/>
          <w:color w:val="000000" w:themeColor="text1"/>
          <w14:textFill>
            <w14:solidFill>
              <w14:schemeClr w14:val="tx1"/>
            </w14:solidFill>
          </w14:textFill>
        </w:rPr>
        <w:t>节电方案</w:t>
      </w:r>
    </w:p>
    <w:p w14:paraId="0AE59AAD">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及公用工程的大部分设备集中布置在焚烧发电主厂房内，并尽可能作到合理布置，减少了室外热力管网；大大减少了供水、电力管网，从而节约了大量管材、电缆、管沟或管架、阀门膨胀节等零部件、保温材料等原材料；采用合理的保温结构及优质保温材料，对管道和设备进行保温，对外表面温度高于50℃的设备和管道均给以保温，减少系统热损失，提高全厂热效率。</w:t>
      </w:r>
    </w:p>
    <w:p w14:paraId="256B8A75">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管道选型按照合理的流速计算选择的管道外径，避免过高的流速造成能量的损失及水泵耗电量。</w:t>
      </w:r>
    </w:p>
    <w:p w14:paraId="29AB7968">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烟气净化除尘选择质量好、运行可靠、系统压降小且波动小的设备，以减少引风机的耗电量，减少厂用电率。</w:t>
      </w:r>
    </w:p>
    <w:p w14:paraId="325D4886">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选择优质节能灯具，加强管理，减少照明时间；增设照明灯的开关，以便管理和有利于节能；对于大型矿房照明设计，宜采用分区控制方式，增加控制的灵活性，有利于节能；户外照明系统，采用光电控制器，便于节能；为减少供电线路的损失，照明电源线路尽量采用三相四线制供电，以减少电压损失，尽量使三相照明负荷对称，以免影响灯具的发光效率；高大厂房采用高压钠灯、金属卤化灯、或镇流荧光汞灯，直带补偿装置，补偿无功损耗，节约电能。</w:t>
      </w:r>
    </w:p>
    <w:p w14:paraId="3FB409EE">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变电所变压器，空调机组等主要用电设备均选用高效率、低能耗产品，均符合国家二级能效评价标准。变电所变压器低压侧设置集中无功功率补偿装置。变压器低压侧功率因数达到0.95。变电所变压器均选用高效率、低能耗产品。</w:t>
      </w:r>
    </w:p>
    <w:p w14:paraId="78EDD3B6">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合理选择供电半径，将变压器设置在用电负荷中心，可以减少低压线路长度，降低线路损耗。合理选用配电形式，减少配电环节。</w:t>
      </w:r>
    </w:p>
    <w:p w14:paraId="56DFEEAB">
      <w:pPr>
        <w:numPr>
          <w:ilvl w:val="0"/>
          <w:numId w:val="53"/>
        </w:numPr>
        <w:rPr>
          <w:color w:val="000000" w:themeColor="text1"/>
          <w14:textFill>
            <w14:solidFill>
              <w14:schemeClr w14:val="tx1"/>
            </w14:solidFill>
          </w14:textFill>
        </w:rPr>
      </w:pPr>
      <w:r>
        <w:rPr>
          <w:rFonts w:hint="eastAsia"/>
          <w:color w:val="000000" w:themeColor="text1"/>
          <w14:textFill>
            <w14:solidFill>
              <w14:schemeClr w14:val="tx1"/>
            </w14:solidFill>
          </w14:textFill>
        </w:rPr>
        <w:t>节油方案</w:t>
      </w:r>
    </w:p>
    <w:p w14:paraId="67D3F235">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选用专门用于垃圾焚烧发电厂燃烧器，该燃烧器只需要较少冷却风量，可以防止燃烧室内烟气被冷却程度，以便节约燃油。</w:t>
      </w:r>
    </w:p>
    <w:p w14:paraId="48FFBE29">
      <w:pPr>
        <w:numPr>
          <w:ilvl w:val="0"/>
          <w:numId w:val="53"/>
        </w:numPr>
        <w:rPr>
          <w:color w:val="000000" w:themeColor="text1"/>
          <w14:textFill>
            <w14:solidFill>
              <w14:schemeClr w14:val="tx1"/>
            </w14:solidFill>
          </w14:textFill>
        </w:rPr>
      </w:pPr>
      <w:r>
        <w:rPr>
          <w:rFonts w:hint="eastAsia"/>
          <w:color w:val="000000" w:themeColor="text1"/>
          <w14:textFill>
            <w14:solidFill>
              <w14:schemeClr w14:val="tx1"/>
            </w14:solidFill>
          </w14:textFill>
        </w:rPr>
        <w:t>维护结构节能方案</w:t>
      </w:r>
    </w:p>
    <w:p w14:paraId="162EFBBF">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采用材料均为绿色、环保、节能材料。建筑围护结构保温节能构造根据建筑类别的不同选用相应的节能标准技术措施。综合楼执行(DB42/T559-2013)《低能耗居住建筑节能设计标准》；人流门卫、综合楼执行（GB50189-2015）《公共建筑节能设计标准》；工业厂房执行（GB51245-2017）《工业建筑节能设计统一标准》；</w:t>
      </w:r>
    </w:p>
    <w:p w14:paraId="237C817D">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于综合主厂房在主控楼部分有主要的办公室、中央控制室、仪表间等设置空调以调节室内温度，使工作人员可以在一个舒适的环境工作。中央控制室、工程师站、参观走廊等均采用多联式变频集中空调制冷系统，并同时配置新风系统。电子设备间采用工艺性空调。所以综合主厂房内局部中央控制室、仪表间、工程师站、参观走廊、值班室、控制室等有人值守的房间，包括综合楼夏季空调系统采用多联式变频集中空调制冷系统。依据（GB50189-2015）《公共建筑节能设计标准》进行节能构造设计。其他厂区内的小型建筑物中的值班室、控制室等有人值守的房间均采用分体空调机，执行（GB51245-2017）《工业建筑节能设计统一标准》。</w:t>
      </w:r>
    </w:p>
    <w:p w14:paraId="7A806D9A">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补充节能构想：通过对屋面、外墙、周边地面、门窗等内容考虑节能方案，提高节能效果，具体指标在后续施工图节能计算书中体现。</w:t>
      </w:r>
    </w:p>
    <w:p w14:paraId="2BF99AF1">
      <w:pPr>
        <w:numPr>
          <w:ilvl w:val="0"/>
          <w:numId w:val="53"/>
        </w:numPr>
        <w:rPr>
          <w:color w:val="000000" w:themeColor="text1"/>
          <w14:textFill>
            <w14:solidFill>
              <w14:schemeClr w14:val="tx1"/>
            </w14:solidFill>
          </w14:textFill>
        </w:rPr>
      </w:pPr>
      <w:r>
        <w:rPr>
          <w:rFonts w:hint="eastAsia"/>
          <w:color w:val="000000" w:themeColor="text1"/>
          <w14:textFill>
            <w14:solidFill>
              <w14:schemeClr w14:val="tx1"/>
            </w14:solidFill>
          </w14:textFill>
        </w:rPr>
        <w:t>节能管理措施</w:t>
      </w:r>
    </w:p>
    <w:p w14:paraId="21B9DBE8">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电厂需建立完善的能源管理机构并配置相关人员。节能工作由主管厂领导分管，建立全厂节能网，由厂、部门、班组三级管理网路组成，以确保节能指标、项目、措施有组织的制订和实施。厂级成立节能领导小组，组长由生产副厂长担任，策划部设节能专职工程师，负责全厂节能日常管理工作。各生产部门成立节能二级小组，组长由部门主任担任，部门配备兼职节能员；班组配备兼职节能员。</w:t>
      </w:r>
    </w:p>
    <w:p w14:paraId="72360A47">
      <w:pPr>
        <w:numPr>
          <w:ilvl w:val="0"/>
          <w:numId w:val="53"/>
        </w:numPr>
        <w:rPr>
          <w:color w:val="000000" w:themeColor="text1"/>
          <w14:textFill>
            <w14:solidFill>
              <w14:schemeClr w14:val="tx1"/>
            </w14:solidFill>
          </w14:textFill>
        </w:rPr>
      </w:pPr>
      <w:r>
        <w:rPr>
          <w:rFonts w:hint="eastAsia"/>
          <w:color w:val="000000" w:themeColor="text1"/>
          <w14:textFill>
            <w14:solidFill>
              <w14:schemeClr w14:val="tx1"/>
            </w14:solidFill>
          </w14:textFill>
        </w:rPr>
        <w:t>节能效果评价</w:t>
      </w:r>
    </w:p>
    <w:p w14:paraId="1E352C13">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前面所述节能措施后，可以减少大量的能耗，提高能源利用效率，降低项目运行的能耗费用。项目建设采用的节能措施先进、可靠。项目建设符合国家和内蒙古自治区产业政策，具有良好的经济效益和社会效益。</w:t>
      </w:r>
    </w:p>
    <w:p w14:paraId="78E88621">
      <w:pPr>
        <w:numPr>
          <w:ilvl w:val="255"/>
          <w:numId w:val="0"/>
        </w:num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通过选用节能型设备，优化设备布置，加强节能管理，设备能耗较低，节能效果显著，设备用能合理，符合节约能源相关法律和法规、符合国家政策。该项目符合行业发展规划、符合《中华人民共和国节约能源法》及省、相关法律法规。本项目属于七大战略性新兴产</w:t>
      </w:r>
      <w:r>
        <w:rPr>
          <w:rFonts w:hint="eastAsia"/>
          <w:color w:val="000000" w:themeColor="text1"/>
          <w:lang w:val="en-US" w:eastAsia="zh-CN"/>
          <w14:textFill>
            <w14:solidFill>
              <w14:schemeClr w14:val="tx1"/>
            </w14:solidFill>
          </w14:textFill>
        </w:rPr>
        <w:t>业中的节能环保产业—资源综合利用技术应用类和《产业结构调整指导目录（2024年本）》中第一类鼓励类第五小类新能源第3条生物质能发电技术与应用；项目的设计和设备选择符合《中国节能技术政策大纲》和行业节能设计规范，未使用国家发改委产业结构调整指导目录等政策性法规明令禁止使用的或限期淘汰的落后工艺、技术和装备。</w:t>
      </w:r>
    </w:p>
    <w:p w14:paraId="0B6E86CB">
      <w:pPr>
        <w:numPr>
          <w:ilvl w:val="255"/>
          <w:numId w:val="0"/>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项目能源消耗合理，各种能源供应有保证，主要能耗指标相应指标要求。项目实施后不仅满足地区发展的需要，支持了当地的经济发展。本项目社会效益、经济效益较好，节能效果明显，符合国家产业政策和节能环保要求，符合能耗准入标准及资源节约和有效利用的相关要求。</w:t>
      </w:r>
    </w:p>
    <w:p w14:paraId="2A35D551">
      <w:pPr>
        <w:pStyle w:val="7"/>
        <w:ind w:firstLine="562"/>
        <w:outlineLvl w:val="1"/>
        <w:rPr>
          <w:color w:val="000000" w:themeColor="text1"/>
          <w14:textFill>
            <w14:solidFill>
              <w14:schemeClr w14:val="tx1"/>
            </w14:solidFill>
          </w14:textFill>
        </w:rPr>
      </w:pPr>
      <w:bookmarkStart w:id="182" w:name="_Toc13244"/>
      <w:r>
        <w:rPr>
          <w:rFonts w:hint="eastAsia"/>
          <w:color w:val="000000" w:themeColor="text1"/>
          <w14:textFill>
            <w14:solidFill>
              <w14:schemeClr w14:val="tx1"/>
            </w14:solidFill>
          </w14:textFill>
        </w:rPr>
        <w:t>碳排放</w:t>
      </w:r>
      <w:bookmarkEnd w:id="182"/>
    </w:p>
    <w:p w14:paraId="6E45476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当前，气候变化已经成为全球共识。截至2022年11月，约有140个国家已宣布或正在考虑提出净零排放目标，涵盖了全球近90%的排放量。总结各国碳中和行动可以发现，各国的碳中和战略都不是就低碳谈低碳，是致力于建设公平繁荣的社会、富有竞争力的低碳经济，以碳排放总量控制为抓手，推动能源体系、技术体系乃至整个社会经济体系的转型。</w:t>
      </w:r>
    </w:p>
    <w:p w14:paraId="72D16FD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2020年9月22日，习近平总书记在第七十五届联合国大会一般性辩论上郑重宣布，“中国将提高国家自主贡献力度，采取更加有力的政策和措施，二氧化碳排放力争2030年前达到峰值，努力争取2060年前实现碳中和。”“双碳”目标的提出彰显了我国主动担当大国责任、构建人类命运共同体的决心，同时也是我国高质量发展的内在要求——推动建立以绿色环保为价值引领和增长动力的现代化经济体系，实现经济社会高质量发展与生态环境高水平保护相协同，与我国“2035年基本实现社会主义现代化”和“到本世纪中叶建成富强民主文明和谐美丽的社会主义现代化强国”的战略目标相适应，体现了我国走生态优先、绿色低碳高质量发展道路的必然要求。</w:t>
      </w:r>
    </w:p>
    <w:p w14:paraId="67BB9BA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弃物作为《IPCC国家温室气体清单指南》五大排放领域之一，其处理过程中产生的二氧化碳（CO2）、甲烷（CH4）、以及氧化亚氮（N2O）等排放是人为温室气体排放的重要来源。根据荷兰环境评估署（PBL）统计，2019年废弃物处理甲烷排放量占全球人类活动产生排放量的21%，为仅次于农业、化石燃料的第三大排放源。因此，“双碳”目标背景下，废弃物领域需要进一步采取措施实现低碳转型。</w:t>
      </w:r>
    </w:p>
    <w:p w14:paraId="2350850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习近平总书记指出，“十四五”时期，我国生态文明建设进入以降碳为重点战略方向，推动减污降碳协同增效，促进经济社会发展全面绿色转型，实现生态环境质量改善由量变到质变的关键阶段。面对生态文明建设新形势新任务新要求，基于环境污染物和碳排放高度同根同源的特征，废弃物处理应主动发挥减污降碳的效益，实现污染物和温室气体的协同治理，改善生态环境质量，助推“双碳”目标实现。</w:t>
      </w:r>
    </w:p>
    <w:p w14:paraId="630C526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2021年1月11日，生态环境部发布的《关于统筹和加强应对气候变化与生态环境保护相关工作的指导意见》中指出“要推动实现减污降碳协同效应”，加强废弃物领域设施管理，协同控制非CO2温室气体排放；鼓励各地积极探索协同控制温室气体和污染物排放的创新举措和有效机制。</w:t>
      </w:r>
    </w:p>
    <w:p w14:paraId="6AC32D9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2021年10月26日，国务院印发《2030年前碳达峰行动方案》。方案中明确提出“大力推进生活垃圾减量化资源化”重点任务。提出到2025年，城市生活垃圾分类体系基本健全，生活垃圾资源化利用比例提升至60%左右。到2030年，城市生活垃圾分类实现全覆盖，生活垃圾资源化利用比例提升至65%。</w:t>
      </w:r>
    </w:p>
    <w:p w14:paraId="5CB8B55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2021年11月10日，中国和美国在联合国气候变化格拉斯哥大会期间发布《中美关于在21世纪20年代强化气候行动的格拉斯哥联合宣言》。《联合宣言》称，两国特别认识到，甲烷排放对于升温的显著影响，认为加大行动控制和减少甲烷排放是21世纪20年代的必要事项，并就甲烷测量、减排具体事宜达成了意向。</w:t>
      </w:r>
    </w:p>
    <w:p w14:paraId="3511F9B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2022年6月13日，生态环境部等7部门印发《减污降碳协同增效实施方案》，提出“推进固体废物污染防治协同控制”，“加强生活垃圾减量化、资源化和无害化处理，大力推进垃圾分类，优化生活垃圾处理处置方式，加强可回收物和厨余垃圾资源化利用，持续推进生活垃圾焚烧处理能力建设。减少有机垃圾填埋，加强生活垃圾填埋场垃圾渗沥液、恶臭和温室气体协同控制，推动垃圾填埋场填埋气收集和利用设施建设。因地制宜稳步推进生物质能多元化开发利用”。</w:t>
      </w:r>
    </w:p>
    <w:p w14:paraId="0DA5A7E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2022年12月14日，中共中央、国务院印发了《扩大内需战略规划纲要（2022-2035年）》，提出“加大生态环保设施建设力度”，并指出“全面推进资源高效利用，建设促进提高清洁能源利用水平、降低二氧化碳排放的生态环保设施”。</w:t>
      </w:r>
    </w:p>
    <w:p w14:paraId="27278BF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余热利用是参与碳排放交易最重要的细分领域之一，其主要通过2种方式实现温室气体减排：替代填埋方式处理生活垃圾，避免了垃圾填埋产生以CH4为主的温室气体排放；利用垃圾焚烧产生热能供热，替代燃煤或天然气供热，减少燃气产生的温室气体排放，属于可再生能源项目。为分析垃圾焚烧余热利用项目的减排效应，需要先明确上述两种基准线排放，即替代垃圾填埋产生的碳排放以及替代燃煤或天然气供热相同电量产生的排放。</w:t>
      </w:r>
    </w:p>
    <w:p w14:paraId="3331089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垃圾焚烧减排量=替代简易填埋排放+替代燃煤供热-垃圾焚烧实际排放。</w:t>
      </w:r>
    </w:p>
    <w:p w14:paraId="7B22CFA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按照年处理量对碳排放进行计算。本项目处理能力为800t/d，即年处理能力为292000t/a。</w:t>
      </w:r>
    </w:p>
    <w:p w14:paraId="0186561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填埋垃圾产生的碳排放量按照557.75kgCO2e/t，则年排放量为16.29万吨。</w:t>
      </w:r>
    </w:p>
    <w:p w14:paraId="19A0E72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项目焚烧后，产生的热量对应碳减排计算如下：本项目焚烧后产生热量对应的发电量为1.168×108kWh/a，发电排放因子按照0.7913kgCO2/kwh考虑，则对应替代燃煤燃烧排放量为9.24万吨。</w:t>
      </w:r>
    </w:p>
    <w:p w14:paraId="4CD08B4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垃圾焚烧时，碳排放量按照384.70CO2e/t考虑，则垃圾焚烧实际排放量为11.23万吨。</w:t>
      </w:r>
    </w:p>
    <w:p w14:paraId="777AF18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故本项目年度碳减排量为14.3万吨。</w:t>
      </w:r>
    </w:p>
    <w:p w14:paraId="4291818B">
      <w:pPr>
        <w:pStyle w:val="7"/>
        <w:ind w:firstLine="562"/>
        <w:outlineLvl w:val="1"/>
        <w:rPr>
          <w:color w:val="000000" w:themeColor="text1"/>
          <w14:textFill>
            <w14:solidFill>
              <w14:schemeClr w14:val="tx1"/>
            </w14:solidFill>
          </w14:textFill>
        </w:rPr>
      </w:pPr>
      <w:bookmarkStart w:id="183" w:name="_Toc1752"/>
      <w:bookmarkStart w:id="184" w:name="_Toc25044"/>
      <w:r>
        <w:rPr>
          <w:rFonts w:hint="eastAsia"/>
          <w:color w:val="000000" w:themeColor="text1"/>
          <w14:textFill>
            <w14:solidFill>
              <w14:schemeClr w14:val="tx1"/>
            </w14:solidFill>
          </w14:textFill>
        </w:rPr>
        <w:t>太阳能系统</w:t>
      </w:r>
      <w:bookmarkEnd w:id="183"/>
    </w:p>
    <w:p w14:paraId="63238AB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依据《建筑节能与可再生能源利用通用规范》GB55015-2021，项目补充太阳能系统建设方案，设置太阳能热水器。</w:t>
      </w:r>
    </w:p>
    <w:p w14:paraId="658E34F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设计日热水用水定额：40L/人d；用水单位数88人。年日均辐照量参考包头市数据，为12110kJ/m²·d。平均日耗热量731753.62kJ/d。集热器面积补偿系数93%。</w:t>
      </w:r>
    </w:p>
    <w:p w14:paraId="1B92224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供水温度：热水温度60℃，年平均冷水温度10℃；</w:t>
      </w:r>
    </w:p>
    <w:p w14:paraId="5039A2A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水源及水质：本工程水源为市政自来水，水质的卫生标准均符合现行《生活饮用水卫生指标》的要求；</w:t>
      </w:r>
    </w:p>
    <w:p w14:paraId="4E21EEF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太阳能热水系统应与建筑进行一体化设计。太阳能热水器内置加热系统必须带有保证使用安全的装置，并采取防冻、防结露、防过热、防渗漏、防雷、防雹、抗风、抗震等安全技术措施，应满足《民用建筑太阳能热水系统应用技术规范》GB5364-2018的规定要求。</w:t>
      </w:r>
    </w:p>
    <w:p w14:paraId="06D9046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太阳能热水系统根据工程采用全玻璃真空管框架式工程，即在本建筑楼顶集中设置全玻璃真空管集热器组成太阳能集热系统，集热系统将太阳辐射能转化为热能贮存在集热水箱中，供水设置管路供水循环泵。</w:t>
      </w:r>
    </w:p>
    <w:p w14:paraId="4E89826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根据建筑屋面结构形式，本工程采用全玻璃真空管太阳能集热器。太阳能保证率60%，太阳能集热器总面积≥95㎡。</w:t>
      </w:r>
    </w:p>
    <w:p w14:paraId="0C5CBE1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本项目采用方形装配式给水箱；水箱容积均为4m³。</w:t>
      </w:r>
    </w:p>
    <w:p w14:paraId="5CF4C72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采用空气源热泵，制热功率19kW。</w:t>
      </w:r>
    </w:p>
    <w:bookmarkEnd w:id="184"/>
    <w:p w14:paraId="155CE5D5">
      <w:pPr>
        <w:pStyle w:val="6"/>
        <w:numPr>
          <w:ilvl w:val="3"/>
          <w:numId w:val="14"/>
        </w:numPr>
        <w:spacing w:before="156" w:after="156"/>
        <w:outlineLvl w:val="1"/>
        <w:rPr>
          <w:color w:val="000000" w:themeColor="text1"/>
          <w14:textFill>
            <w14:solidFill>
              <w14:schemeClr w14:val="tx1"/>
            </w14:solidFill>
          </w14:textFill>
        </w:rPr>
      </w:pPr>
      <w:bookmarkStart w:id="185" w:name="_Toc4095"/>
      <w:r>
        <w:rPr>
          <w:rFonts w:hint="eastAsia"/>
          <w:color w:val="000000" w:themeColor="text1"/>
          <w:lang w:val="en-US" w:eastAsia="zh-CN"/>
          <w14:textFill>
            <w14:solidFill>
              <w14:schemeClr w14:val="tx1"/>
            </w14:solidFill>
          </w14:textFill>
        </w:rPr>
        <w:t>工程建设标准</w:t>
      </w:r>
      <w:bookmarkEnd w:id="185"/>
    </w:p>
    <w:bookmarkEnd w:id="144"/>
    <w:p w14:paraId="72A583EF">
      <w:pPr>
        <w:pStyle w:val="7"/>
        <w:ind w:firstLine="562"/>
        <w:outlineLvl w:val="2"/>
        <w:rPr>
          <w:rFonts w:hint="eastAsia"/>
          <w:color w:val="000000" w:themeColor="text1"/>
          <w14:textFill>
            <w14:solidFill>
              <w14:schemeClr w14:val="tx1"/>
            </w14:solidFill>
          </w14:textFill>
        </w:rPr>
      </w:pPr>
      <w:bookmarkStart w:id="186" w:name="_Toc10441"/>
      <w:r>
        <w:rPr>
          <w:rFonts w:hint="eastAsia"/>
          <w:color w:val="000000" w:themeColor="text1"/>
          <w14:textFill>
            <w14:solidFill>
              <w14:schemeClr w14:val="tx1"/>
            </w14:solidFill>
          </w14:textFill>
        </w:rPr>
        <w:t>污染物排放标准</w:t>
      </w:r>
      <w:bookmarkEnd w:id="186"/>
    </w:p>
    <w:p w14:paraId="1071C766">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垃圾焚烧发电厂在建设过程中必须遵守国家环境保护局和国家发展改革委员会发布的《生活垃圾焚烧发电污染物排放标准》(GB18485-2014)。该标准明确规定了污染物排放的限值，以确保焚烧过程不会对环境造成不可接受的污染‌。</w:t>
      </w:r>
    </w:p>
    <w:p w14:paraId="688A6F3B">
      <w:pPr>
        <w:pStyle w:val="7"/>
        <w:ind w:firstLine="562"/>
        <w:outlineLvl w:val="2"/>
        <w:rPr>
          <w:rFonts w:hint="eastAsia"/>
          <w:color w:val="000000" w:themeColor="text1"/>
          <w14:textFill>
            <w14:solidFill>
              <w14:schemeClr w14:val="tx1"/>
            </w14:solidFill>
          </w14:textFill>
        </w:rPr>
      </w:pPr>
      <w:bookmarkStart w:id="187" w:name="_Toc20126"/>
      <w:r>
        <w:rPr>
          <w:rFonts w:hint="eastAsia"/>
          <w:color w:val="000000" w:themeColor="text1"/>
          <w:lang w:val="en-US" w:eastAsia="zh-CN"/>
          <w14:textFill>
            <w14:solidFill>
              <w14:schemeClr w14:val="tx1"/>
            </w14:solidFill>
          </w14:textFill>
        </w:rPr>
        <w:t>‌建设技术规范</w:t>
      </w:r>
      <w:bookmarkEnd w:id="187"/>
    </w:p>
    <w:p w14:paraId="7DD2569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遵循《生活垃圾焚烧发电厂建设技术规范》(GB50423-2009)，该规范详细规定了生活垃圾焚烧发电厂在建设、设计、施工、验收和运行管理等方面的技术要求，确保设施的安全、高效和合规运行‌。</w:t>
      </w:r>
    </w:p>
    <w:p w14:paraId="52F8AE4E">
      <w:pPr>
        <w:pStyle w:val="7"/>
        <w:ind w:firstLine="562"/>
        <w:outlineLvl w:val="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‌项目管理办法</w:t>
      </w:r>
    </w:p>
    <w:p w14:paraId="587A2B1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根据国家能源局和国家发展改革委员会发布的《生活垃圾焚烧发电项目管理办法》(发改能源〔2013〕1978号)，垃圾焚烧发电项目的立项、审批、监管等管理环节均有明确的规定，以确保项目的合法性和规范性‌。</w:t>
      </w:r>
    </w:p>
    <w:p w14:paraId="008314F5">
      <w:pPr>
        <w:pStyle w:val="7"/>
        <w:ind w:firstLine="562"/>
        <w:outlineLvl w:val="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‌环境准入条件‌</w:t>
      </w:r>
    </w:p>
    <w:p w14:paraId="6F334B7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垃圾焚烧发电建设项目需符合《生活垃圾焚烧发电建设项目环境准入条件(试行)》的要求，包括项目选址、建设规划、环境保护措施等方面的严格规定，以防止对自然保护区、风景名胜区、饮用水水源保护区等敏感区域造成污染‌。</w:t>
      </w:r>
    </w:p>
    <w:p w14:paraId="110A8E64">
      <w:pPr>
        <w:ind w:firstLine="562" w:firstLineChars="200"/>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pPr>
      <w:r>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t>‌5.安全防护等级设计规范</w:t>
      </w:r>
    </w:p>
    <w:p w14:paraId="5AC68DA5">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垃圾焚烧发电厂的安全防护等级设计至关重要，需根据国家相关标准划分安全等级，并进行规范的安全设施规划与设计，如火灾报警系统、防火墙、紧急疏散通道等，以确保设施在发生意外时能够及时、有效地处置‌。</w:t>
      </w:r>
    </w:p>
    <w:p w14:paraId="50FA292B">
      <w:pPr>
        <w:pStyle w:val="5"/>
        <w:numPr>
          <w:ilvl w:val="2"/>
          <w:numId w:val="14"/>
        </w:numPr>
        <w:outlineLvl w:val="1"/>
        <w:rPr>
          <w:color w:val="000000" w:themeColor="text1"/>
          <w14:textFill>
            <w14:solidFill>
              <w14:schemeClr w14:val="tx1"/>
            </w14:solidFill>
          </w14:textFill>
        </w:rPr>
      </w:pPr>
      <w:bookmarkStart w:id="188" w:name="_Toc29337"/>
      <w:bookmarkStart w:id="189" w:name="_Toc9650"/>
      <w:r>
        <w:rPr>
          <w:rFonts w:hint="eastAsia"/>
          <w:color w:val="000000" w:themeColor="text1"/>
          <w14:textFill>
            <w14:solidFill>
              <w14:schemeClr w14:val="tx1"/>
            </w14:solidFill>
          </w14:textFill>
        </w:rPr>
        <w:t>要素保障条件</w:t>
      </w:r>
      <w:bookmarkEnd w:id="188"/>
      <w:bookmarkEnd w:id="189"/>
    </w:p>
    <w:p w14:paraId="280A35C8">
      <w:pPr>
        <w:pStyle w:val="6"/>
        <w:numPr>
          <w:ilvl w:val="3"/>
          <w:numId w:val="14"/>
        </w:numPr>
        <w:spacing w:before="156" w:after="156"/>
        <w:outlineLvl w:val="2"/>
        <w:rPr>
          <w:color w:val="000000" w:themeColor="text1"/>
          <w14:textFill>
            <w14:solidFill>
              <w14:schemeClr w14:val="tx1"/>
            </w14:solidFill>
          </w14:textFill>
        </w:rPr>
      </w:pPr>
      <w:bookmarkStart w:id="190" w:name="_Toc7464"/>
      <w:bookmarkStart w:id="191" w:name="_Toc15152"/>
      <w:r>
        <w:rPr>
          <w:rFonts w:hint="eastAsia"/>
          <w:color w:val="000000" w:themeColor="text1"/>
          <w14:textFill>
            <w14:solidFill>
              <w14:schemeClr w14:val="tx1"/>
            </w14:solidFill>
          </w14:textFill>
        </w:rPr>
        <w:t>用地用海</w:t>
      </w:r>
      <w:bookmarkEnd w:id="190"/>
      <w:r>
        <w:rPr>
          <w:rFonts w:hint="eastAsia"/>
          <w:color w:val="000000" w:themeColor="text1"/>
          <w14:textFill>
            <w14:solidFill>
              <w14:schemeClr w14:val="tx1"/>
            </w14:solidFill>
          </w14:textFill>
        </w:rPr>
        <w:t>条件</w:t>
      </w:r>
      <w:bookmarkEnd w:id="191"/>
    </w:p>
    <w:p w14:paraId="2ABE075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土地是民生之本</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人多地少是我国的基本国情，保护土地资源是关系中华民族生存与发展、关系广大人民群众根本利益的大事。为贯彻“十分珍惜、合理利用和切实保护耕地”的基本国策，提高土地利用率，适应项目建设和发展需要，拟建项目严格执行《中华人民共和国土地法》、《建设用地计划管理办法》等。</w:t>
      </w:r>
    </w:p>
    <w:p w14:paraId="572D15C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根据厂址现场勘查及比选工作，本项目拟建厂址位于昆都仑区西北部，昆都仑区西北部卜尔汉图镇内，G6京藏高速包钢出口东北侧。</w:t>
      </w:r>
    </w:p>
    <w:p w14:paraId="77A89C4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2023年3月16日市自然资源局组织召开的2023年第一次城市规划委员会会议上通过选址，拟征地139.78亩。2024年办理用地预审与选址时，根据节地专章最新要求缩小用地范围，本项目用地规模从139.78亩调整至100.71亩，以符合自然资源部门相关要求。目前</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最新出具的用地结果为</w:t>
      </w:r>
      <w:r>
        <w:rPr>
          <w:rFonts w:hint="eastAsia"/>
          <w:color w:val="000000" w:themeColor="text1"/>
          <w:lang w:eastAsia="zh-CN"/>
          <w14:textFill>
            <w14:solidFill>
              <w14:schemeClr w14:val="tx1"/>
            </w14:solidFill>
          </w14:textFill>
        </w:rPr>
        <w:t>84.237亩</w:t>
      </w:r>
      <w:r>
        <w:rPr>
          <w:rFonts w:hint="eastAsia"/>
          <w:color w:val="000000" w:themeColor="text1"/>
          <w14:textFill>
            <w14:solidFill>
              <w14:schemeClr w14:val="tx1"/>
            </w14:solidFill>
          </w14:textFill>
        </w:rPr>
        <w:t>。</w:t>
      </w:r>
    </w:p>
    <w:p w14:paraId="21B7D33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本项目属于建设用地，不涉及重要矿产压覆、占用耕地或永久基本农田等情况，用地方式为出让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土地使用权归项目公司所有，特许经营期到期后无偿移交给政府或其指定机构</w:t>
      </w:r>
      <w:r>
        <w:rPr>
          <w:rFonts w:hint="eastAsia"/>
          <w:color w:val="000000" w:themeColor="text1"/>
          <w14:textFill>
            <w14:solidFill>
              <w14:schemeClr w14:val="tx1"/>
            </w14:solidFill>
          </w14:textFill>
        </w:rPr>
        <w:t>。未经政府批准，项目公司不得变更项目建设用地的土地用途，也不得将该土地转让、出租和抵押。</w:t>
      </w:r>
    </w:p>
    <w:p w14:paraId="1A81143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本项目不涉及用海。</w:t>
      </w:r>
    </w:p>
    <w:p w14:paraId="64F208C1">
      <w:pPr>
        <w:pStyle w:val="6"/>
        <w:numPr>
          <w:ilvl w:val="3"/>
          <w:numId w:val="14"/>
        </w:numPr>
        <w:spacing w:before="156" w:after="156"/>
        <w:outlineLvl w:val="2"/>
        <w:rPr>
          <w:color w:val="000000" w:themeColor="text1"/>
          <w14:textFill>
            <w14:solidFill>
              <w14:schemeClr w14:val="tx1"/>
            </w14:solidFill>
          </w14:textFill>
        </w:rPr>
      </w:pPr>
      <w:bookmarkStart w:id="192" w:name="_Toc14419"/>
      <w:bookmarkStart w:id="193" w:name="_Toc3387"/>
      <w:r>
        <w:rPr>
          <w:rFonts w:hint="eastAsia"/>
          <w:color w:val="000000" w:themeColor="text1"/>
          <w14:textFill>
            <w14:solidFill>
              <w14:schemeClr w14:val="tx1"/>
            </w14:solidFill>
          </w14:textFill>
        </w:rPr>
        <w:t>资源环境</w:t>
      </w:r>
      <w:bookmarkEnd w:id="192"/>
      <w:r>
        <w:rPr>
          <w:rFonts w:hint="eastAsia"/>
          <w:color w:val="000000" w:themeColor="text1"/>
          <w14:textFill>
            <w14:solidFill>
              <w14:schemeClr w14:val="tx1"/>
            </w14:solidFill>
          </w14:textFill>
        </w:rPr>
        <w:t>承载能力、生态环境敏感区等其他支撑条件</w:t>
      </w:r>
      <w:bookmarkEnd w:id="193"/>
    </w:p>
    <w:p w14:paraId="3446AE7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水资源：本项目生产用水拟取用中水，日取水量为1785m³/d。距离西郊污水厂约10公里，生活用水取自市政自来水，自来水管线已经接到厂区边界，日取水量为15.4m³/d，供水条件好。</w:t>
      </w:r>
    </w:p>
    <w:p w14:paraId="16A05A6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能源：本项目消耗的能源主要为生活垃圾。生活垃圾设计日进厂量一期为800吨，由市政环卫部门提供，垃圾量有保证。</w:t>
      </w:r>
    </w:p>
    <w:p w14:paraId="20B92AB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烟气排放指标达到《生活垃圾焚烧污染控制标准》（GB18485-2014）排放要求。本工程烟气净化工艺为“SNCR+半干法（Ca(OH)2溶液）+干法（Ca(OH)2干粉）＋活性炭吸附＋袋式除尘”烟气净化工艺。项目运行后，对周边大气环境影响轻微。</w:t>
      </w:r>
    </w:p>
    <w:p w14:paraId="7AA772C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其他：本项目用地处于包头市城市上风向，周边300m无现状居民，环境敏感度小。同时距离铁路、高速距离较近，运输条件佳。且本项目不涉及生态环境敏感区，环境制约因素小，项目生态环境保障条件较好。</w:t>
      </w:r>
    </w:p>
    <w:p w14:paraId="04EB627D">
      <w:pPr>
        <w:pStyle w:val="5"/>
        <w:numPr>
          <w:ilvl w:val="2"/>
          <w:numId w:val="14"/>
        </w:numPr>
        <w:outlineLvl w:val="1"/>
        <w:rPr>
          <w:color w:val="000000" w:themeColor="text1"/>
          <w14:textFill>
            <w14:solidFill>
              <w14:schemeClr w14:val="tx1"/>
            </w14:solidFill>
          </w14:textFill>
        </w:rPr>
      </w:pPr>
      <w:bookmarkStart w:id="194" w:name="_Toc30586"/>
      <w:bookmarkStart w:id="195" w:name="_Toc16892"/>
      <w:r>
        <w:rPr>
          <w:rFonts w:hint="eastAsia"/>
          <w:color w:val="000000" w:themeColor="text1"/>
          <w14:textFill>
            <w14:solidFill>
              <w14:schemeClr w14:val="tx1"/>
            </w14:solidFill>
          </w14:textFill>
        </w:rPr>
        <w:t>运营服务要求</w:t>
      </w:r>
      <w:bookmarkEnd w:id="194"/>
      <w:bookmarkEnd w:id="195"/>
    </w:p>
    <w:p w14:paraId="552E0464">
      <w:pPr>
        <w:pStyle w:val="6"/>
        <w:numPr>
          <w:ilvl w:val="3"/>
          <w:numId w:val="14"/>
        </w:numPr>
        <w:spacing w:before="156" w:after="156"/>
        <w:outlineLvl w:val="2"/>
        <w:rPr>
          <w:color w:val="000000" w:themeColor="text1"/>
          <w14:textFill>
            <w14:solidFill>
              <w14:schemeClr w14:val="tx1"/>
            </w14:solidFill>
          </w14:textFill>
        </w:rPr>
      </w:pPr>
      <w:bookmarkStart w:id="196" w:name="_Toc4044"/>
      <w:bookmarkStart w:id="197" w:name="_Toc20596"/>
      <w:r>
        <w:rPr>
          <w:rFonts w:hint="eastAsia"/>
          <w:color w:val="000000" w:themeColor="text1"/>
          <w14:textFill>
            <w14:solidFill>
              <w14:schemeClr w14:val="tx1"/>
            </w14:solidFill>
          </w14:textFill>
        </w:rPr>
        <w:t>项目运营的外部条件</w:t>
      </w:r>
      <w:bookmarkEnd w:id="196"/>
      <w:bookmarkEnd w:id="197"/>
    </w:p>
    <w:p w14:paraId="162FBBAC">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保证项目正常运营的外部条件如下：</w:t>
      </w:r>
    </w:p>
    <w:p w14:paraId="064CC983">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一是</w:t>
      </w:r>
      <w:r>
        <w:rPr>
          <w:rFonts w:hint="default"/>
          <w:color w:val="000000" w:themeColor="text1"/>
          <w14:textFill>
            <w14:solidFill>
              <w14:schemeClr w14:val="tx1"/>
            </w14:solidFill>
          </w14:textFill>
        </w:rPr>
        <w:t>‌政策与法规支持‌：项目必须符合国家及地方相关政策法规，如排污许可、垃圾焚烧服务许可等，确保项目的合法性与合规性。同时，</w:t>
      </w:r>
      <w:r>
        <w:rPr>
          <w:rFonts w:hint="eastAsia"/>
          <w:color w:val="000000" w:themeColor="text1"/>
          <w:lang w:val="en-US" w:eastAsia="zh-CN"/>
          <w14:textFill>
            <w14:solidFill>
              <w14:schemeClr w14:val="tx1"/>
            </w14:solidFill>
          </w14:textFill>
        </w:rPr>
        <w:t>包头市</w:t>
      </w:r>
      <w:r>
        <w:rPr>
          <w:rFonts w:hint="default"/>
          <w:color w:val="000000" w:themeColor="text1"/>
          <w14:textFill>
            <w14:solidFill>
              <w14:schemeClr w14:val="tx1"/>
            </w14:solidFill>
          </w14:textFill>
        </w:rPr>
        <w:t>政府应</w:t>
      </w:r>
      <w:r>
        <w:rPr>
          <w:rFonts w:hint="eastAsia"/>
          <w:color w:val="000000" w:themeColor="text1"/>
          <w:lang w:val="en-US" w:eastAsia="zh-CN"/>
          <w14:textFill>
            <w14:solidFill>
              <w14:schemeClr w14:val="tx1"/>
            </w14:solidFill>
          </w14:textFill>
        </w:rPr>
        <w:t>加强居民与非居民垃圾处理费收费管理</w:t>
      </w:r>
      <w:r>
        <w:rPr>
          <w:rFonts w:hint="default"/>
          <w:color w:val="000000" w:themeColor="text1"/>
          <w14:textFill>
            <w14:solidFill>
              <w14:schemeClr w14:val="tx1"/>
            </w14:solidFill>
          </w14:textFill>
        </w:rPr>
        <w:t>，以保障项目的持续稳定运营‌。</w:t>
      </w:r>
    </w:p>
    <w:p w14:paraId="045C2CBC">
      <w:pPr>
        <w:ind w:firstLine="560" w:firstLineChars="20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二是</w:t>
      </w:r>
      <w:r>
        <w:rPr>
          <w:rFonts w:hint="default"/>
          <w:color w:val="000000" w:themeColor="text1"/>
          <w14:textFill>
            <w14:solidFill>
              <w14:schemeClr w14:val="tx1"/>
            </w14:solidFill>
          </w14:textFill>
        </w:rPr>
        <w:t>‌充足的垃圾供应‌：垃圾焚烧发电项目需要稳定的垃圾供应作为燃料，因此，项目所在地应具备充足的垃圾产生量，且垃圾供应应稳定可靠，以满足项目运营的需求‌。</w:t>
      </w:r>
    </w:p>
    <w:p w14:paraId="59CDE635">
      <w:pPr>
        <w:ind w:firstLine="560" w:firstLineChars="20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三是</w:t>
      </w:r>
      <w:r>
        <w:rPr>
          <w:rFonts w:hint="default"/>
          <w:color w:val="000000" w:themeColor="text1"/>
          <w14:textFill>
            <w14:solidFill>
              <w14:schemeClr w14:val="tx1"/>
            </w14:solidFill>
          </w14:textFill>
        </w:rPr>
        <w:t>‌完善的配套设施‌：项目运营需要完善的配套设施，包括垃圾收集、运输、处理等设施，以确保垃圾能够高效、有序地进入焚烧发电流程。同时，项目还应具备先进的焚烧技术和设备，以及相应的环保设施，以确保项目的环保性能和发电效率。</w:t>
      </w:r>
    </w:p>
    <w:p w14:paraId="1F74DADD">
      <w:pPr>
        <w:ind w:firstLine="560" w:firstLineChars="20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四是</w:t>
      </w:r>
      <w:r>
        <w:rPr>
          <w:rFonts w:hint="default"/>
          <w:color w:val="000000" w:themeColor="text1"/>
          <w14:textFill>
            <w14:solidFill>
              <w14:schemeClr w14:val="tx1"/>
            </w14:solidFill>
          </w14:textFill>
        </w:rPr>
        <w:t>‌资金保障‌：垃圾焚烧发电项目需要大量的资金投入，包括建设成本、设备采购、运营维护等费用。因此，项目运营方应具备充足的资金实力，或能够通过融资等方式筹集到必要的资金，以确保项目的顺利实施和持续运营。</w:t>
      </w:r>
    </w:p>
    <w:p w14:paraId="3D826BCF">
      <w:pPr>
        <w:ind w:firstLine="560" w:firstLineChars="200"/>
        <w:rPr>
          <w:rFonts w:hint="default" w:ascii="Arial" w:hAnsi="Arial" w:eastAsia="Arial" w:cs="Arial"/>
        </w:rPr>
      </w:pPr>
      <w:r>
        <w:rPr>
          <w:rFonts w:hint="eastAsia"/>
          <w:color w:val="000000" w:themeColor="text1"/>
          <w:lang w:val="en-US" w:eastAsia="zh-CN"/>
          <w14:textFill>
            <w14:solidFill>
              <w14:schemeClr w14:val="tx1"/>
            </w14:solidFill>
          </w14:textFill>
        </w:rPr>
        <w:t>五是</w:t>
      </w:r>
      <w:r>
        <w:rPr>
          <w:rFonts w:hint="default"/>
          <w:color w:val="000000" w:themeColor="text1"/>
          <w14:textFill>
            <w14:solidFill>
              <w14:schemeClr w14:val="tx1"/>
            </w14:solidFill>
          </w14:textFill>
        </w:rPr>
        <w:t>‌良好的社会环境‌：项目运营需要得到社会各界的支持和认可，包括政府、居民、企业等。因此，项目运营方应加强与各方的沟通与协作，积极回应社会关切，提高项目的透明度和公信力，以营造良好的社会环境</w:t>
      </w:r>
      <w:r>
        <w:rPr>
          <w:rFonts w:hint="eastAsia"/>
          <w:color w:val="000000" w:themeColor="text1"/>
          <w:lang w:eastAsia="zh-CN"/>
          <w14:textFill>
            <w14:solidFill>
              <w14:schemeClr w14:val="tx1"/>
            </w14:solidFill>
          </w14:textFill>
        </w:rPr>
        <w:t>。</w:t>
      </w:r>
      <w:r>
        <w:rPr>
          <w:rFonts w:hint="default" w:ascii="Arial" w:hAnsi="Arial" w:eastAsia="Arial" w:cs="Arial"/>
          <w:i w:val="0"/>
          <w:iCs w:val="0"/>
          <w:caps w:val="0"/>
          <w:color w:val="333333"/>
          <w:spacing w:val="0"/>
          <w:sz w:val="16"/>
          <w:szCs w:val="16"/>
          <w:shd w:val="clear" w:fill="FFFFFF"/>
        </w:rPr>
        <w:t>‌</w:t>
      </w:r>
    </w:p>
    <w:p w14:paraId="6B654CAA">
      <w:pPr>
        <w:pStyle w:val="6"/>
        <w:numPr>
          <w:ilvl w:val="3"/>
          <w:numId w:val="14"/>
        </w:numPr>
        <w:spacing w:before="156" w:after="156"/>
        <w:outlineLvl w:val="2"/>
        <w:rPr>
          <w:color w:val="000000" w:themeColor="text1"/>
          <w14:textFill>
            <w14:solidFill>
              <w14:schemeClr w14:val="tx1"/>
            </w14:solidFill>
          </w14:textFill>
        </w:rPr>
      </w:pPr>
      <w:bookmarkStart w:id="198" w:name="_Toc6423"/>
      <w:bookmarkStart w:id="199" w:name="_Toc11242"/>
      <w:r>
        <w:rPr>
          <w:rFonts w:hint="eastAsia"/>
          <w:color w:val="000000" w:themeColor="text1"/>
          <w14:textFill>
            <w14:solidFill>
              <w14:schemeClr w14:val="tx1"/>
            </w14:solidFill>
          </w14:textFill>
        </w:rPr>
        <w:t>运营管理原则</w:t>
      </w:r>
      <w:bookmarkEnd w:id="198"/>
      <w:bookmarkEnd w:id="199"/>
    </w:p>
    <w:p w14:paraId="283AF3D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在项目的运营管理过程中，坚持以下原则，实施项目的运营管理。</w:t>
      </w:r>
    </w:p>
    <w:p w14:paraId="78AA6AE1">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依法经营原则。遵守国家、交通运输部及地方相关法律、法规、条例及规定的要求，依法经营。</w:t>
      </w:r>
    </w:p>
    <w:p w14:paraId="3CD334C5">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密切合作，创新机制原则。要做好本项目的运营管理，项目公司必须与政府开展密切的合作，结合项目公司在垃圾焚烧行业运营管理的经验，建立一套适合本项目特点和区域实际情况的管理模式和方法，在本项目运营管理过程中摸索出一套项目运营管理的创新机制。</w:t>
      </w:r>
    </w:p>
    <w:p w14:paraId="0D9C4D4D">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超前谋划，充分准备原则。经营管理必须具有超前意识，做到通盘考虑，综合规划，分步实施。在项目建设的中后期即开始对运营管理进行综合研究规划，确定管理体制、机构定编、人员配备、设备购置、管理方式等内容，编制运营管理手册，选聘管理人员，开展员工培训，通过充分准备实现项目交工验收与开通运营的无缝连接。</w:t>
      </w:r>
    </w:p>
    <w:p w14:paraId="404E2D62">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组织合理，精简高效原则。针对项目公司所处地域及行业相关特点，坚持“精简、高效、合理”的原则设置机构，配置人员和设备，减少管理层级，实现扁平化管理，提高管理效率，形成快速反应机制。</w:t>
      </w:r>
    </w:p>
    <w:p w14:paraId="122FDB1A">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科学管理，降低成本原则。利用科学的管理手段，充分发挥设备效能。充分利用行业内已成熟的信息化管理系统，并在此基础上创新研究，开发全面、系统的综合管理信息系统，创造高智能环境，提高工作效率，降低综合管理成本。</w:t>
      </w:r>
    </w:p>
    <w:p w14:paraId="50F52765">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培养人才，提高素质原则。管理人员需具备高素质、高技能；同时运营管理的发展需要管理人员的知识不断更新。因此运营管理实施过程中需进行经常性的人才培训，加速人员素质的提高，适应现代化管理需要。</w:t>
      </w:r>
    </w:p>
    <w:p w14:paraId="67F53B4F">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健全制度，规范管理原则。运营管理项目繁多，分工细致，专业性强。为保证互相协调、有条不紊地运作，必须制定健全的规章制度和操作规程，实行严格的规范化管理。</w:t>
      </w:r>
    </w:p>
    <w:p w14:paraId="45F13BF0">
      <w:pPr>
        <w:numPr>
          <w:ilvl w:val="0"/>
          <w:numId w:val="5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保证质量，合理回报原则。经营者必须在运营过程中注重营造与各相关利益方的和谐环境，并向使用者提供优质文明的服务，在特许经营期内获得合理的投资回报，实现项目公司的科学持续发展。</w:t>
      </w:r>
    </w:p>
    <w:p w14:paraId="1F723DEE">
      <w:pPr>
        <w:pStyle w:val="6"/>
        <w:numPr>
          <w:ilvl w:val="3"/>
          <w:numId w:val="14"/>
        </w:numPr>
        <w:spacing w:before="156" w:after="156"/>
        <w:outlineLvl w:val="2"/>
        <w:rPr>
          <w:color w:val="000000" w:themeColor="text1"/>
          <w14:textFill>
            <w14:solidFill>
              <w14:schemeClr w14:val="tx1"/>
            </w14:solidFill>
          </w14:textFill>
        </w:rPr>
      </w:pPr>
      <w:bookmarkStart w:id="200" w:name="_Toc16414"/>
      <w:bookmarkStart w:id="201" w:name="_Toc10588"/>
      <w:r>
        <w:rPr>
          <w:rFonts w:hint="eastAsia"/>
          <w:color w:val="000000" w:themeColor="text1"/>
          <w:lang w:val="en-US" w:eastAsia="zh-CN"/>
          <w14:textFill>
            <w14:solidFill>
              <w14:schemeClr w14:val="tx1"/>
            </w14:solidFill>
          </w14:textFill>
        </w:rPr>
        <w:t>运营服务标准</w:t>
      </w:r>
      <w:bookmarkEnd w:id="200"/>
    </w:p>
    <w:p w14:paraId="1ABB00E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1.非生活垃圾</w:t>
      </w:r>
      <w:r>
        <w:rPr>
          <w:rFonts w:hint="eastAsia"/>
          <w:color w:val="000000" w:themeColor="text1"/>
          <w:lang w:val="en-US" w:eastAsia="zh-CN"/>
          <w14:textFill>
            <w14:solidFill>
              <w14:schemeClr w14:val="tx1"/>
            </w14:solidFill>
          </w14:textFill>
        </w:rPr>
        <w:t>处理</w:t>
      </w:r>
      <w:r>
        <w:rPr>
          <w:rFonts w:hint="eastAsia"/>
          <w:color w:val="000000" w:themeColor="text1"/>
          <w14:textFill>
            <w14:solidFill>
              <w14:schemeClr w14:val="tx1"/>
            </w14:solidFill>
          </w14:textFill>
        </w:rPr>
        <w:t>‌：</w:t>
      </w:r>
    </w:p>
    <w:p w14:paraId="5C67CA42">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遵循国家相关的环境保护法规和标准，可协同掺烧市政污泥、餐厨垃圾、医废处置后残渣及一般工业固废可入炉焚烧的垃圾。</w:t>
      </w:r>
    </w:p>
    <w:p w14:paraId="792634F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‌2.污染物排放标准‌：</w:t>
      </w:r>
    </w:p>
    <w:p w14:paraId="1D71555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项目运营过程中产生的各类污染物（如烟气、废水、废渣等）应严格按照国家及地方环保标准进行处理和排放。</w:t>
      </w:r>
    </w:p>
    <w:p w14:paraId="47F8D78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烟气排放应满足《生活垃圾焚烧污染控制标准》等相关标准，确保二噁英、重金属、氮氧化物等污染物达标排放‌。</w:t>
      </w:r>
    </w:p>
    <w:p w14:paraId="71AB07B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废水处理应达到相关排放标准，避免对周边环境造成污染‌。</w:t>
      </w:r>
    </w:p>
    <w:p w14:paraId="7E6E18D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‌3.危险废弃物处置‌：</w:t>
      </w:r>
    </w:p>
    <w:p w14:paraId="21402052">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运营过程中产生的危险废弃物（如飞灰、废滤布等）应严格按照《危险废物贮存污染控制标准》等规定进行安全处置。</w:t>
      </w:r>
    </w:p>
    <w:p w14:paraId="37338E7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危险废弃物应分类收集、贮存，并交由具有相应资质的单位进行无害化处理或处置，确保不对环境和人体健康造成危害‌。</w:t>
      </w:r>
    </w:p>
    <w:p w14:paraId="512EE70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‌4.运行管理与监测‌：</w:t>
      </w:r>
    </w:p>
    <w:p w14:paraId="40B0DBE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w:t>
      </w:r>
      <w:r>
        <w:rPr>
          <w:rFonts w:hint="eastAsia"/>
          <w:color w:val="000000" w:themeColor="text1"/>
          <w:lang w:val="en-US" w:eastAsia="zh-CN"/>
          <w14:textFill>
            <w14:solidFill>
              <w14:schemeClr w14:val="tx1"/>
            </w14:solidFill>
          </w14:textFill>
        </w:rPr>
        <w:t>者</w:t>
      </w:r>
      <w:r>
        <w:rPr>
          <w:rFonts w:hint="eastAsia"/>
          <w:color w:val="000000" w:themeColor="text1"/>
          <w14:textFill>
            <w14:solidFill>
              <w14:schemeClr w14:val="tx1"/>
            </w14:solidFill>
          </w14:textFill>
        </w:rPr>
        <w:t>应建立完善的运行管理体系，包括设备运行维护、故障处理、安全检查等制度。</w:t>
      </w:r>
    </w:p>
    <w:p w14:paraId="088AECD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公司</w:t>
      </w:r>
      <w:r>
        <w:rPr>
          <w:rFonts w:hint="eastAsia"/>
          <w:color w:val="000000" w:themeColor="text1"/>
          <w14:textFill>
            <w14:solidFill>
              <w14:schemeClr w14:val="tx1"/>
            </w14:solidFill>
          </w14:textFill>
        </w:rPr>
        <w:t>应</w:t>
      </w:r>
      <w:r>
        <w:rPr>
          <w:rFonts w:hint="eastAsia"/>
          <w:color w:val="000000" w:themeColor="text1"/>
          <w:lang w:val="en-US" w:eastAsia="zh-CN"/>
          <w14:textFill>
            <w14:solidFill>
              <w14:schemeClr w14:val="tx1"/>
            </w14:solidFill>
          </w14:textFill>
        </w:rPr>
        <w:t>负责</w:t>
      </w:r>
      <w:r>
        <w:rPr>
          <w:rFonts w:hint="eastAsia"/>
          <w:color w:val="000000" w:themeColor="text1"/>
          <w14:textFill>
            <w14:solidFill>
              <w14:schemeClr w14:val="tx1"/>
            </w14:solidFill>
          </w14:textFill>
        </w:rPr>
        <w:t>安装在线监测设备，实时监测烟气排放等关键指标，确保数据真实可靠，并及时向相关部门报告‌。</w:t>
      </w:r>
    </w:p>
    <w:p w14:paraId="21EB534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‌5.应急响应与处置‌：</w:t>
      </w:r>
    </w:p>
    <w:p w14:paraId="192AAA7E">
      <w:pPr>
        <w:ind w:firstLine="560" w:firstLineChars="200"/>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公司</w:t>
      </w:r>
      <w:r>
        <w:rPr>
          <w:rFonts w:hint="eastAsia"/>
          <w:color w:val="000000" w:themeColor="text1"/>
          <w14:textFill>
            <w14:solidFill>
              <w14:schemeClr w14:val="tx1"/>
            </w14:solidFill>
          </w14:textFill>
        </w:rPr>
        <w:t>应制定完善的应急预案，包括火灾、爆炸、泄漏等突发事件的应急响应和处置措施。定期组织应急演练，提高应对突发事件的能力，确保项目安全稳定运行</w:t>
      </w:r>
      <w:r>
        <w:rPr>
          <w:rFonts w:hint="eastAsia"/>
        </w:rPr>
        <w:t>‌</w:t>
      </w:r>
    </w:p>
    <w:p w14:paraId="529531CA">
      <w:pPr>
        <w:pStyle w:val="6"/>
        <w:numPr>
          <w:ilvl w:val="3"/>
          <w:numId w:val="14"/>
        </w:numPr>
        <w:spacing w:before="156" w:after="156"/>
        <w:outlineLvl w:val="2"/>
        <w:rPr>
          <w:color w:val="000000" w:themeColor="text1"/>
          <w14:textFill>
            <w14:solidFill>
              <w14:schemeClr w14:val="tx1"/>
            </w14:solidFill>
          </w14:textFill>
        </w:rPr>
      </w:pPr>
      <w:bookmarkStart w:id="202" w:name="_Toc5443"/>
      <w:r>
        <w:rPr>
          <w:rFonts w:hint="eastAsia"/>
          <w:color w:val="000000" w:themeColor="text1"/>
          <w14:textFill>
            <w14:solidFill>
              <w14:schemeClr w14:val="tx1"/>
            </w14:solidFill>
          </w14:textFill>
        </w:rPr>
        <w:t>运营服务内容</w:t>
      </w:r>
      <w:bookmarkEnd w:id="201"/>
      <w:bookmarkEnd w:id="202"/>
    </w:p>
    <w:p w14:paraId="40A3F6C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本项目运营内容主要为垃圾焚烧发电，投产后向电网输送电力，可获得一定收益</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另外可获得生活垃圾处理运行补贴</w:t>
      </w:r>
      <w:r>
        <w:rPr>
          <w:rFonts w:hint="eastAsia"/>
          <w:color w:val="000000" w:themeColor="text1"/>
          <w14:textFill>
            <w14:solidFill>
              <w14:schemeClr w14:val="tx1"/>
            </w14:solidFill>
          </w14:textFill>
        </w:rPr>
        <w:t>，用以维持焚烧</w:t>
      </w:r>
      <w:r>
        <w:rPr>
          <w:rFonts w:hint="eastAsia"/>
          <w:color w:val="000000" w:themeColor="text1"/>
          <w:lang w:val="en-US" w:eastAsia="zh-CN"/>
          <w14:textFill>
            <w14:solidFill>
              <w14:schemeClr w14:val="tx1"/>
            </w14:solidFill>
          </w14:textFill>
        </w:rPr>
        <w:t>发电</w:t>
      </w:r>
      <w:r>
        <w:rPr>
          <w:rFonts w:hint="eastAsia"/>
          <w:color w:val="000000" w:themeColor="text1"/>
          <w14:textFill>
            <w14:solidFill>
              <w14:schemeClr w14:val="tx1"/>
            </w14:solidFill>
          </w14:textFill>
        </w:rPr>
        <w:t>厂的正常运行。</w:t>
      </w:r>
    </w:p>
    <w:p w14:paraId="6D3F662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主要运营服务内容包括：</w:t>
      </w:r>
    </w:p>
    <w:p w14:paraId="5074007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‌1.垃圾接收与处理‌：</w:t>
      </w:r>
    </w:p>
    <w:p w14:paraId="6A638EC5">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项目公司负责接收服务范围内的生活垃圾，并通过焚烧技术将其处理‌。</w:t>
      </w:r>
    </w:p>
    <w:p w14:paraId="071B391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‌2.发电与售电‌：</w:t>
      </w:r>
    </w:p>
    <w:p w14:paraId="023088F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利用焚烧过程中产生的热能进行发电，并将所发的电力外售，这是项目的主要收益来源之一‌。项目公司需确保发电设施的正常运行，以及电力的稳定输出和销售。</w:t>
      </w:r>
    </w:p>
    <w:p w14:paraId="66A98E7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‌3.设备维护与检修‌：</w:t>
      </w:r>
    </w:p>
    <w:p w14:paraId="2FD34F35">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项目公司需负责焚烧发电设施的日常维护、定期检修和故障处理，以确保设备的长期稳定运行和高效发电‌。</w:t>
      </w:r>
    </w:p>
    <w:p w14:paraId="1D7B93E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‌4.环保监测与合规‌：</w:t>
      </w:r>
    </w:p>
    <w:p w14:paraId="6BAE34C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在运营过程中，项目公司需严格遵守国家及地方的环保法规，对焚烧过程中产生的烟气、灰渣、渗滤液等进行有效处理和监测，确保各项环保指标达标‌。</w:t>
      </w:r>
    </w:p>
    <w:p w14:paraId="4F66369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‌5.运营管理与优化‌：</w:t>
      </w:r>
    </w:p>
    <w:p w14:paraId="6C18AA5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项目公司需对整个运营过程进行管理，包括人员配置、成本控制、效率提升等方面。同时，还需不断优化运营策略，提高项目的经济效益和环境效益‌。</w:t>
      </w:r>
    </w:p>
    <w:p w14:paraId="2266E01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垃圾焚烧发电特许经营项目的运营服务内容涵盖了垃圾的接收与处理、发电与售电、设备维护与检修、环保监测与合规以及运营管理与优化等多个方面，项目公司需全面负责并高效执行这些服务内容，以确保项目的长期稳定运行和持续盈利。。‌</w:t>
      </w:r>
    </w:p>
    <w:p w14:paraId="5FAEF1D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且根据《关于规范实施政府和社会资本合作新机制的指导意见》（国办函〔2023〕115号）“鼓励特许经营者通过技术创新、管理创新和商业模式创新等降低建设和运营成本，提高投资收益，促进政府和社会资本合作项目更好实施。特许经营者在保障项目质量和产出（服务）效果的前提下，通过加强管理、降低成本、提升效率、积极创新等获得的额外收益主要归特许经营者所有”。项目公司可在合法合规的范围内，结合新的技术提供相应的公共服务。</w:t>
      </w:r>
    </w:p>
    <w:p w14:paraId="5580ED78">
      <w:pPr>
        <w:pStyle w:val="6"/>
        <w:numPr>
          <w:ilvl w:val="3"/>
          <w:numId w:val="14"/>
        </w:numPr>
        <w:spacing w:before="156" w:after="156"/>
        <w:outlineLvl w:val="2"/>
        <w:rPr>
          <w:color w:val="000000" w:themeColor="text1"/>
          <w14:textFill>
            <w14:solidFill>
              <w14:schemeClr w14:val="tx1"/>
            </w14:solidFill>
          </w14:textFill>
        </w:rPr>
      </w:pPr>
      <w:bookmarkStart w:id="203" w:name="_Toc15963"/>
      <w:bookmarkStart w:id="204" w:name="_Toc21559"/>
      <w:r>
        <w:rPr>
          <w:rFonts w:hint="eastAsia"/>
          <w:color w:val="000000" w:themeColor="text1"/>
          <w14:textFill>
            <w14:solidFill>
              <w14:schemeClr w14:val="tx1"/>
            </w14:solidFill>
          </w14:textFill>
        </w:rPr>
        <w:t>项目公司</w:t>
      </w:r>
      <w:bookmarkEnd w:id="203"/>
      <w:bookmarkEnd w:id="204"/>
    </w:p>
    <w:p w14:paraId="4E22F40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本项目拟以特许经营模式实施，通过公开招标方式选择特许经营者，中选特许经营者应成立项目公司，作为本项目实施主体，负责本项目所涉及的投融资、设计、建设、运营、移交等工作。</w:t>
      </w:r>
    </w:p>
    <w:p w14:paraId="2DF9804C">
      <w:pPr>
        <w:pStyle w:val="6"/>
        <w:numPr>
          <w:ilvl w:val="3"/>
          <w:numId w:val="14"/>
        </w:numPr>
        <w:spacing w:before="156" w:after="156"/>
        <w:outlineLvl w:val="2"/>
        <w:rPr>
          <w:color w:val="000000" w:themeColor="text1"/>
          <w14:textFill>
            <w14:solidFill>
              <w14:schemeClr w14:val="tx1"/>
            </w14:solidFill>
          </w14:textFill>
        </w:rPr>
      </w:pPr>
      <w:bookmarkStart w:id="205" w:name="_Toc29676"/>
      <w:bookmarkStart w:id="206" w:name="_Toc12803"/>
      <w:r>
        <w:rPr>
          <w:rFonts w:hint="eastAsia"/>
          <w:color w:val="000000" w:themeColor="text1"/>
          <w14:textFill>
            <w14:solidFill>
              <w14:schemeClr w14:val="tx1"/>
            </w14:solidFill>
          </w14:textFill>
        </w:rPr>
        <w:t>运营标准和质量规范</w:t>
      </w:r>
      <w:bookmarkEnd w:id="205"/>
      <w:bookmarkEnd w:id="206"/>
    </w:p>
    <w:p w14:paraId="57BBBAD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本项目遵循的运营标准及质量规范主要包括：</w:t>
      </w:r>
    </w:p>
    <w:p w14:paraId="57FB1AF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（1）《生活垃圾焚烧污染控制标准》（GB18485-2014）；</w:t>
      </w:r>
    </w:p>
    <w:p w14:paraId="5746B8F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（2）《生活垃圾焚烧炉及余热锅炉》（GB/T18750-2008）；</w:t>
      </w:r>
    </w:p>
    <w:p w14:paraId="4F33CFC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（3）《工业企业设计卫生标准》（GBZ1-2010）；</w:t>
      </w:r>
    </w:p>
    <w:p w14:paraId="11B5CCA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（4）《污水综合排放标准》（GB8978-1996）；</w:t>
      </w:r>
    </w:p>
    <w:p w14:paraId="0679A6B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（5）《城镇污水再生利用工程设计规范》（GB/T50335-2016）；</w:t>
      </w:r>
    </w:p>
    <w:p w14:paraId="03FEB31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（6）《城市污水再生利用工业用水水质》（GB/T19923-2005）；</w:t>
      </w:r>
    </w:p>
    <w:p w14:paraId="5D28908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（7）《城市污水再生利用城市杂用水水质》（GB/T18920-2020）；</w:t>
      </w:r>
    </w:p>
    <w:p w14:paraId="783D86D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（8）《城市环境卫生设施规划规范》（GB50337-2003）；</w:t>
      </w:r>
    </w:p>
    <w:p w14:paraId="6B6A293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（9）《室外给水设计规范》（GB50013-2018）；</w:t>
      </w:r>
    </w:p>
    <w:p w14:paraId="62BAFCD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（10）《室外排水设计规范》GB50014-2006（2016版）；</w:t>
      </w:r>
    </w:p>
    <w:p w14:paraId="3A838FD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（11）《生活垃圾填埋场污染控制标准》（GB16889-2008）；</w:t>
      </w:r>
    </w:p>
    <w:p w14:paraId="6430FD1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（12）《建筑设计防火规范》GB50016-2014（2018年版）；</w:t>
      </w:r>
    </w:p>
    <w:p w14:paraId="466B70F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《建筑给水排水设计</w:t>
      </w:r>
      <w:r>
        <w:rPr>
          <w:rFonts w:hint="eastAsia"/>
          <w:color w:val="000000" w:themeColor="text1"/>
          <w14:textFill>
            <w14:solidFill>
              <w14:schemeClr w14:val="tx1"/>
            </w14:solidFill>
          </w14:textFill>
        </w:rPr>
        <w:t>标准</w:t>
      </w:r>
      <w:r>
        <w:rPr>
          <w:color w:val="000000" w:themeColor="text1"/>
          <w14:textFill>
            <w14:solidFill>
              <w14:schemeClr w14:val="tx1"/>
            </w14:solidFill>
          </w14:textFill>
        </w:rPr>
        <w:t>》GB50015-20</w:t>
      </w:r>
      <w:r>
        <w:rPr>
          <w:rFonts w:hint="eastAsia"/>
          <w:color w:val="000000" w:themeColor="text1"/>
          <w14:textFill>
            <w14:solidFill>
              <w14:schemeClr w14:val="tx1"/>
            </w14:solidFill>
          </w14:textFill>
        </w:rPr>
        <w:t>19；</w:t>
      </w:r>
    </w:p>
    <w:p w14:paraId="22D8AFD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（14）《工业企业噪声控制设计规范》（GB50087-2013）；</w:t>
      </w:r>
    </w:p>
    <w:p w14:paraId="6DDF4A6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（15）《工业企业厂界环境噪声排放标准》（GB12348-2008）；</w:t>
      </w:r>
    </w:p>
    <w:p w14:paraId="2A358C0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（16）《环境空气质量标准》GB3095-2012（2018年修订）；</w:t>
      </w:r>
    </w:p>
    <w:p w14:paraId="634A079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（17）《恶臭污染物排放标准》（GB14554-1993）；</w:t>
      </w:r>
    </w:p>
    <w:p w14:paraId="2A1303C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（18）《危险废物贮存污染控制标准》（GB18597-2001）；</w:t>
      </w:r>
    </w:p>
    <w:p w14:paraId="3684B8C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（19）《工业企业总平面设计规范》（GB50187-2012）；</w:t>
      </w:r>
    </w:p>
    <w:p w14:paraId="1CB212D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（20）《厂矿道路设计规范》（GBJ22-1987）；</w:t>
      </w:r>
    </w:p>
    <w:p w14:paraId="768AC7A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（21）《供配电系统设计规范》（GB50052-2009）。</w:t>
      </w:r>
    </w:p>
    <w:p w14:paraId="451A5F4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（22）《生活垃圾焚烧处理工程技术规范》（CJJ90-2009）；</w:t>
      </w:r>
    </w:p>
    <w:p w14:paraId="1FC632B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（23）《生活垃圾焚烧技术导则》（RISN-TG009-2010）；</w:t>
      </w:r>
    </w:p>
    <w:p w14:paraId="11934223">
      <w:pPr>
        <w:ind w:firstLine="56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（24）《生活垃圾焚烧厂安全性技术评价导则》（RISN-TG010-2010）；</w:t>
      </w:r>
    </w:p>
    <w:p w14:paraId="595CF50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（25）《生活垃圾焚烧厂评价标准》（CJJ/T137-2019）。</w:t>
      </w:r>
    </w:p>
    <w:p w14:paraId="5E31163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注：以上标准规范如有更新以最新版为准。</w:t>
      </w:r>
    </w:p>
    <w:p w14:paraId="1C2DFB72">
      <w:pPr>
        <w:pStyle w:val="6"/>
        <w:numPr>
          <w:ilvl w:val="3"/>
          <w:numId w:val="14"/>
        </w:numPr>
        <w:spacing w:before="156" w:after="156"/>
        <w:outlineLvl w:val="2"/>
        <w:rPr>
          <w:color w:val="000000" w:themeColor="text1"/>
          <w14:textFill>
            <w14:solidFill>
              <w14:schemeClr w14:val="tx1"/>
            </w14:solidFill>
          </w14:textFill>
        </w:rPr>
      </w:pPr>
      <w:bookmarkStart w:id="207" w:name="_Toc350"/>
      <w:bookmarkStart w:id="208" w:name="_Toc26040"/>
      <w:r>
        <w:rPr>
          <w:rFonts w:hint="eastAsia"/>
          <w:color w:val="000000" w:themeColor="text1"/>
          <w14:textFill>
            <w14:solidFill>
              <w14:schemeClr w14:val="tx1"/>
            </w14:solidFill>
          </w14:textFill>
        </w:rPr>
        <w:t>安全保障要求</w:t>
      </w:r>
      <w:bookmarkEnd w:id="207"/>
      <w:bookmarkEnd w:id="208"/>
    </w:p>
    <w:p w14:paraId="2B14187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安全管理目标</w:t>
      </w:r>
    </w:p>
    <w:p w14:paraId="3CFC1F3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确保人员安全：‌通过建立健全的安全环保体系，‌明确各级人员的安全环保职责，‌并严格执行，‌以保障员工的人身安全，‌降低安全事故的发生率。‌</w:t>
      </w:r>
    </w:p>
    <w:p w14:paraId="2F47715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保障设备安全：‌确保垃圾焚烧发电厂的设备符合国家相关标准和规定，‌经过严格的检验和验收后方可投入使用，‌并对设备进行常规的维护和检修，‌以保障设备的安全运行。‌</w:t>
      </w:r>
    </w:p>
    <w:p w14:paraId="62D37B4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防止环境污染：‌垃圾焚烧发电厂应建立严格的环境监测体系，‌对污染物进行定期监测和检测，‌以确保不会对周围环境产生不良影响，‌并实现经济效益和社会利益的有机统一。‌</w:t>
      </w:r>
    </w:p>
    <w:p w14:paraId="662C615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实现安全生产：‌通过全面的安全管理措施，‌包括风险因子防控、‌消防安全管理等，‌确保垃圾焚烧发电厂的安全生产，‌防止火灾、‌爆炸等安全事故的发生。</w:t>
      </w:r>
    </w:p>
    <w:p w14:paraId="4F9F9362">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安全事故分类</w:t>
      </w:r>
    </w:p>
    <w:p w14:paraId="37E600B3">
      <w:pPr>
        <w:numPr>
          <w:ilvl w:val="0"/>
          <w:numId w:val="55"/>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电气火灾</w:t>
      </w:r>
    </w:p>
    <w:p w14:paraId="0DB5B4AA">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若电气设备、线路存在缺陷，使用或检修过程中绝缘损坏漏电，检修作业安全距离不够，停、送电失误等均可能导致电气事故。</w:t>
      </w:r>
    </w:p>
    <w:p w14:paraId="0EE084E0">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电气设备线路绝缘损坏、线路短路，或没有按规定设置漏电保护器，生产场所电器设备、线路、照明等不符合要求时，均可能产生电器火花而引起火灾事故。</w:t>
      </w:r>
    </w:p>
    <w:p w14:paraId="565631CE">
      <w:pPr>
        <w:numPr>
          <w:ilvl w:val="0"/>
          <w:numId w:val="55"/>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机械伤害</w:t>
      </w:r>
    </w:p>
    <w:p w14:paraId="43C1A106">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水泵、供油泵等高速旋转联轴器、叶轮，在没有安全防护罩的情况下，会将人体接触部位绞伤以及将衣物绞入导致机械伤害。</w:t>
      </w:r>
    </w:p>
    <w:p w14:paraId="764B4050">
      <w:pPr>
        <w:numPr>
          <w:ilvl w:val="0"/>
          <w:numId w:val="55"/>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触电</w:t>
      </w:r>
    </w:p>
    <w:p w14:paraId="3FEF34CC">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项目涉及的电气设备如防护措施不完善，作业人员就会有触电危险。如防雷设施不完好，雷电也会导致建筑物毁坏，人员触电伤害。</w:t>
      </w:r>
    </w:p>
    <w:p w14:paraId="56C95A23">
      <w:pPr>
        <w:numPr>
          <w:ilvl w:val="0"/>
          <w:numId w:val="55"/>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车辆伤害</w:t>
      </w:r>
    </w:p>
    <w:p w14:paraId="0593DD5D">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厂区内行驶的车辆，在超载或驾驶员思想麻痹的情况下，可能会造成人员的车辆伤害。另外在行驶时还有可能产生翻倒、碰撞、载物失落等危险，造成财物的损坏以及人员伤害。</w:t>
      </w:r>
    </w:p>
    <w:p w14:paraId="149FFACD">
      <w:pPr>
        <w:pStyle w:val="7"/>
        <w:ind w:firstLine="560"/>
        <w:rPr>
          <w:rFonts w:ascii="Times New Roman" w:hAnsi="Times New Roman" w:cstheme="minorBidi"/>
          <w:color w:val="000000" w:themeColor="text1"/>
          <w:szCs w:val="22"/>
          <w14:textFill>
            <w14:solidFill>
              <w14:schemeClr w14:val="tx1"/>
            </w14:solidFill>
          </w14:textFill>
        </w:rPr>
      </w:pPr>
      <w:r>
        <w:rPr>
          <w:rFonts w:hint="eastAsia" w:ascii="Times New Roman" w:hAnsi="Times New Roman" w:cstheme="minorBidi"/>
          <w:b w:val="0"/>
          <w:bCs w:val="0"/>
          <w:color w:val="000000" w:themeColor="text1"/>
          <w:szCs w:val="22"/>
          <w14:textFill>
            <w14:solidFill>
              <w14:schemeClr w14:val="tx1"/>
            </w14:solidFill>
          </w14:textFill>
        </w:rPr>
        <w:t>安全管理体系</w:t>
      </w:r>
    </w:p>
    <w:p w14:paraId="58653EEC">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按照《中华人民共和国安全生产法》的要求，设置安全生产管理机构并配备专职安全管理人员，公司主要负责人和安全生产管理人员必须具备与本单位所从事的生产经营活动相应的安全生产知识和管理能力。公司主要负责人和安全生产管理人员应接受相关部门的培训，并取得合格证后持证上岗。</w:t>
      </w:r>
    </w:p>
    <w:p w14:paraId="3F2BC345">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（1）安全生产管理机构和安全生产管理人员履行下列职责：</w:t>
      </w:r>
    </w:p>
    <w:p w14:paraId="0CEEF840">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执行安全生产法律、法规和国家标准、行业标准；</w:t>
      </w:r>
    </w:p>
    <w:p w14:paraId="46B65BFB">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协助制定安全生产规章制度和安全技术操作规程；</w:t>
      </w:r>
    </w:p>
    <w:p w14:paraId="5CF396E1">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开展安全生产检查，及时查处事故隐患和违章行为，并督促有关业务部门及时整改；</w:t>
      </w:r>
    </w:p>
    <w:p w14:paraId="07F028C2">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开展安全生产宣传、教育、培训，总结推广安全生产经验；</w:t>
      </w:r>
    </w:p>
    <w:p w14:paraId="235846FC">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参与新建、改建、扩建的建设项目安全设施的审查，管理和发放劳动防护用品；</w:t>
      </w:r>
    </w:p>
    <w:p w14:paraId="0CA80758">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协助调查和处理安全生产事故，进行伤亡事故的统计、分析，提出报告；</w:t>
      </w:r>
    </w:p>
    <w:p w14:paraId="252E6D9F">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定期向单位主要负责人报告安全生产情况；</w:t>
      </w:r>
    </w:p>
    <w:p w14:paraId="01303E83">
      <w:pPr>
        <w:numPr>
          <w:ilvl w:val="0"/>
          <w:numId w:val="56"/>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生产经营单位赋予的其他安全生产职责。</w:t>
      </w:r>
    </w:p>
    <w:p w14:paraId="32DAE196">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2）要建立健全各种管理制度、管理台帐和技术档案，尤其要完善设备的检维修管理制度。设备的不安全状态是诱发事故的物质基础。保持设备、设施的完好状态，是实现安全生产前提。因此，要加强设备运行的监视、检查、定期维护保养等管理工作。经常进行安全分析，对发生过的事故或未遂事件、故障、异常工艺条件和操作失误等作详细记录和原因分析并找出改进措施。</w:t>
      </w:r>
    </w:p>
    <w:p w14:paraId="120D019A">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（3）要加强动火、进入设备、起重、电气等检修作业的安全管理。</w:t>
      </w:r>
    </w:p>
    <w:p w14:paraId="18032237">
      <w:pPr>
        <w:numPr>
          <w:ilvl w:val="0"/>
          <w:numId w:val="57"/>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要严格执行动火审批制度，动火前应检测，动火时须有专人监护，并准备适用的消防器材。</w:t>
      </w:r>
    </w:p>
    <w:p w14:paraId="4B4448B9">
      <w:pPr>
        <w:numPr>
          <w:ilvl w:val="0"/>
          <w:numId w:val="57"/>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电气作业严格执行作业票制度。电工作业人员应经过安全技术培训，考核合格取得相应的资格证书后，才能从事电工作业。</w:t>
      </w:r>
    </w:p>
    <w:p w14:paraId="15A6ADE6">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（4）进入有限空间作业时，要严格执行《有限空间安全作业五条规定》即：</w:t>
      </w:r>
    </w:p>
    <w:p w14:paraId="366A13B1">
      <w:pPr>
        <w:numPr>
          <w:ilvl w:val="0"/>
          <w:numId w:val="58"/>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必须严格实行作业审批制度，严禁擅自进入有限空间作业。</w:t>
      </w:r>
    </w:p>
    <w:p w14:paraId="1E823D8D">
      <w:pPr>
        <w:numPr>
          <w:ilvl w:val="0"/>
          <w:numId w:val="58"/>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必须做到“先通风、再检测、后作业”，严禁通风、检测不合格作业。</w:t>
      </w:r>
    </w:p>
    <w:p w14:paraId="0580124F">
      <w:pPr>
        <w:numPr>
          <w:ilvl w:val="0"/>
          <w:numId w:val="58"/>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必须配备个人防中毒窒息等防护装备，设置安全警示标识，严禁无防护监护措施作业。</w:t>
      </w:r>
    </w:p>
    <w:p w14:paraId="1D4B0A23">
      <w:pPr>
        <w:numPr>
          <w:ilvl w:val="0"/>
          <w:numId w:val="58"/>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必须对作业人员进行安全培训，严禁教育培训不合格上岗作业。</w:t>
      </w:r>
    </w:p>
    <w:p w14:paraId="62D0A559">
      <w:pPr>
        <w:numPr>
          <w:ilvl w:val="0"/>
          <w:numId w:val="58"/>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必须制定应急措施，现场配备应急装备，严禁盲目施救。</w:t>
      </w:r>
    </w:p>
    <w:p w14:paraId="79642FDB">
      <w:p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（5）企业要严格执行《企业安全生产风险公告六条规定》即：</w:t>
      </w:r>
    </w:p>
    <w:p w14:paraId="138CCD50">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必须在企业醒目位置设置公告栏，在存在安全生产风险的岗位设置告知卡，分别标明本企业、本岗位主要危险危害因素、后果、事故预防及应急措施、报告电话等内容。</w:t>
      </w:r>
    </w:p>
    <w:p w14:paraId="1BAD2725">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必须在危险源、存在严重职业病危害的场所设置明显标志，标明风险内容、危险程度、安全距离、防控办法、应急措施等内容。</w:t>
      </w:r>
    </w:p>
    <w:p w14:paraId="5CC368F1">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必须在有重大事故隐患和较大危险的场所和设施设备上设置明显标志，标明治理责任、期限及应急措施。</w:t>
      </w:r>
    </w:p>
    <w:p w14:paraId="4F9DCFB9">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必须在工作岗位标明安全操作要点。</w:t>
      </w:r>
    </w:p>
    <w:p w14:paraId="7436D4CE">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必须及时向员工公开安全生产行政处罚决定、执行情况和整改结果。</w:t>
      </w:r>
    </w:p>
    <w:p w14:paraId="768ED28D">
      <w:pPr>
        <w:numPr>
          <w:ilvl w:val="0"/>
          <w:numId w:val="59"/>
        </w:numPr>
        <w:ind w:firstLine="560" w:firstLineChars="200"/>
        <w:rPr>
          <w:rFonts w:hint="eastAsia" w:ascii="仿宋" w:hAnsi="仿宋" w:cs="仿宋"/>
          <w:color w:val="000000" w:themeColor="text1"/>
          <w:szCs w:val="28"/>
          <w14:textFill>
            <w14:solidFill>
              <w14:schemeClr w14:val="tx1"/>
            </w14:solidFill>
          </w14:textFill>
        </w:rPr>
      </w:pPr>
      <w:r>
        <w:rPr>
          <w:rFonts w:hint="eastAsia" w:ascii="仿宋" w:hAnsi="仿宋" w:cs="仿宋"/>
          <w:color w:val="000000" w:themeColor="text1"/>
          <w:szCs w:val="28"/>
          <w14:textFill>
            <w14:solidFill>
              <w14:schemeClr w14:val="tx1"/>
            </w14:solidFill>
          </w14:textFill>
        </w:rPr>
        <w:t>必须及时更新安全生产风险公告内容，建立档案。</w:t>
      </w:r>
    </w:p>
    <w:p w14:paraId="603064D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在运营过程中应保证无安全生产责任事故，并应针对自然灾害、事故灾难、公共卫生事件、社会安全事件等突发事件建立相应的应急预案和保障体系，建立完善安全生产制度和突发事件的应急机制，制定应急预案报实施机构备案，并按要求定期进行应急预案演练，项目公司应保障服务的稳定和安全，防止事故的发生，并保证出现突发事件时其应急保障体系能够正常启动。如发生突发事件或敏感事件，项目公司应及时通报项目实施机构，并采取有效措施，尽力救援，尽快恢复正常；在事故影响期间，项目公司应采取各种应急措施进行补救，尽量减少事故的影响和损失。</w:t>
      </w:r>
    </w:p>
    <w:p w14:paraId="3B9911B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且为最大限度地降低项目运营期间自然灾害、人为破坏等风险因素造成的损失，项目公司应参投有关保险，进行风险的合理规避，确保国家及项目公司的利益，保险费用由项目公司自行承担。项目运营期保险应主要从确保员工人身安全、设备安全、项目公司财产安全方面进行投保。因项目公司未能投保或投保金额不足，导致受益人未能得到保险人的赔偿，因此发生的一切责任和损失由项目公司承担。</w:t>
      </w:r>
    </w:p>
    <w:p w14:paraId="7A49D7F2">
      <w:pPr>
        <w:pStyle w:val="5"/>
        <w:numPr>
          <w:ilvl w:val="2"/>
          <w:numId w:val="14"/>
        </w:numPr>
        <w:tabs>
          <w:tab w:val="left" w:pos="5401"/>
        </w:tabs>
        <w:outlineLvl w:val="1"/>
        <w:rPr>
          <w:color w:val="000000" w:themeColor="text1"/>
          <w14:textFill>
            <w14:solidFill>
              <w14:schemeClr w14:val="tx1"/>
            </w14:solidFill>
          </w14:textFill>
        </w:rPr>
      </w:pPr>
      <w:bookmarkStart w:id="209" w:name="_Toc19588"/>
      <w:bookmarkStart w:id="210" w:name="_Toc27322"/>
      <w:r>
        <w:rPr>
          <w:rFonts w:hint="eastAsia"/>
          <w:color w:val="000000" w:themeColor="text1"/>
          <w14:textFill>
            <w14:solidFill>
              <w14:schemeClr w14:val="tx1"/>
            </w14:solidFill>
          </w14:textFill>
        </w:rPr>
        <w:t>主要风险识别和分析</w:t>
      </w:r>
      <w:bookmarkEnd w:id="209"/>
      <w:bookmarkEnd w:id="210"/>
      <w:r>
        <w:rPr>
          <w:rFonts w:hint="eastAsia"/>
          <w:color w:val="000000" w:themeColor="text1"/>
          <w14:textFill>
            <w14:solidFill>
              <w14:schemeClr w14:val="tx1"/>
            </w14:solidFill>
          </w14:textFill>
        </w:rPr>
        <w:tab/>
      </w:r>
    </w:p>
    <w:p w14:paraId="7DEE54C6">
      <w:pPr>
        <w:pStyle w:val="6"/>
        <w:numPr>
          <w:ilvl w:val="3"/>
          <w:numId w:val="14"/>
        </w:numPr>
        <w:spacing w:before="156" w:after="156"/>
        <w:outlineLvl w:val="2"/>
        <w:rPr>
          <w:color w:val="000000" w:themeColor="text1"/>
          <w14:textFill>
            <w14:solidFill>
              <w14:schemeClr w14:val="tx1"/>
            </w14:solidFill>
          </w14:textFill>
        </w:rPr>
      </w:pPr>
      <w:bookmarkStart w:id="211" w:name="_Toc6143"/>
      <w:bookmarkStart w:id="212" w:name="_Toc9480"/>
      <w:bookmarkStart w:id="213" w:name="_Toc22384"/>
      <w:bookmarkStart w:id="214" w:name="_Toc22225"/>
      <w:bookmarkStart w:id="215" w:name="_Toc20540"/>
      <w:bookmarkStart w:id="216" w:name="_Toc90954970"/>
      <w:bookmarkStart w:id="217" w:name="_Toc5103"/>
      <w:bookmarkStart w:id="218" w:name="_Toc21387"/>
      <w:bookmarkStart w:id="219" w:name="_Toc17464147"/>
      <w:bookmarkStart w:id="220" w:name="_Toc25658480"/>
      <w:bookmarkStart w:id="221" w:name="_Toc19857196"/>
      <w:bookmarkStart w:id="222" w:name="_Toc10885"/>
      <w:bookmarkStart w:id="223" w:name="_Toc11407894"/>
      <w:bookmarkStart w:id="224" w:name="_Toc43278558"/>
      <w:bookmarkStart w:id="225" w:name="_Toc11148"/>
      <w:bookmarkStart w:id="226" w:name="_Toc20784"/>
      <w:r>
        <w:rPr>
          <w:rFonts w:hint="eastAsia"/>
          <w:color w:val="000000" w:themeColor="text1"/>
          <w14:textFill>
            <w14:solidFill>
              <w14:schemeClr w14:val="tx1"/>
            </w14:solidFill>
          </w14:textFill>
        </w:rPr>
        <w:t>风险识别</w:t>
      </w:r>
      <w:bookmarkEnd w:id="211"/>
      <w:bookmarkEnd w:id="212"/>
      <w:bookmarkEnd w:id="213"/>
      <w:bookmarkEnd w:id="214"/>
      <w:bookmarkEnd w:id="215"/>
      <w:bookmarkEnd w:id="216"/>
      <w:bookmarkEnd w:id="217"/>
      <w:bookmarkEnd w:id="218"/>
    </w:p>
    <w:p w14:paraId="3B37257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风险识别主要从项目自身原因引发的风险和外界环境引发的风险两方面展开。</w:t>
      </w:r>
      <w:r>
        <w:rPr>
          <w:color w:val="000000" w:themeColor="text1"/>
          <w14:textFill>
            <w14:solidFill>
              <w14:schemeClr w14:val="tx1"/>
            </w14:solidFill>
          </w14:textFill>
        </w:rPr>
        <w:t>因项目自身原因引发的风险主要划分为融资风险、</w:t>
      </w:r>
      <w:r>
        <w:rPr>
          <w:rFonts w:hint="eastAsia"/>
          <w:color w:val="000000" w:themeColor="text1"/>
          <w:lang w:val="en-US" w:eastAsia="zh-CN"/>
          <w14:textFill>
            <w14:solidFill>
              <w14:schemeClr w14:val="tx1"/>
            </w14:solidFill>
          </w14:textFill>
        </w:rPr>
        <w:t>前期准备风险、</w:t>
      </w:r>
      <w:r>
        <w:rPr>
          <w:color w:val="000000" w:themeColor="text1"/>
          <w14:textFill>
            <w14:solidFill>
              <w14:schemeClr w14:val="tx1"/>
            </w14:solidFill>
          </w14:textFill>
        </w:rPr>
        <w:t>建设风险、运营风险和移交风险。外界环境引发且超出自身控制的风险，包括政治风险、政策风险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不可抗力风险</w:t>
      </w:r>
      <w:r>
        <w:rPr>
          <w:rFonts w:hint="eastAsia"/>
          <w:color w:val="000000" w:themeColor="text1"/>
          <w14:textFill>
            <w14:solidFill>
              <w14:schemeClr w14:val="tx1"/>
            </w14:solidFill>
          </w14:textFill>
        </w:rPr>
        <w:t>和其他风险，此种风险贯穿于项目的各个阶段，项目在立项、建设、生产运营直到移交的全过程都可能受到影响。</w:t>
      </w:r>
    </w:p>
    <w:p w14:paraId="4DA62C7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本项目的主要风险进行识别如下：</w:t>
      </w:r>
    </w:p>
    <w:p w14:paraId="7B0494F6">
      <w:pPr>
        <w:pStyle w:val="7"/>
        <w:ind w:firstLine="562"/>
        <w:rPr>
          <w:color w:val="000000" w:themeColor="text1"/>
          <w14:textFill>
            <w14:solidFill>
              <w14:schemeClr w14:val="tx1"/>
            </w14:solidFill>
          </w14:textFill>
        </w:rPr>
      </w:pPr>
      <w:bookmarkStart w:id="227" w:name="_Toc19172"/>
      <w:bookmarkStart w:id="228" w:name="_Toc43278563"/>
      <w:bookmarkStart w:id="229" w:name="_Toc10974"/>
      <w:bookmarkStart w:id="230" w:name="_Toc43228491"/>
      <w:bookmarkStart w:id="231" w:name="_Toc41055867"/>
      <w:bookmarkStart w:id="232" w:name="_Toc41636152"/>
      <w:bookmarkStart w:id="233" w:name="_Toc25146"/>
      <w:bookmarkStart w:id="234" w:name="_Toc59113315"/>
      <w:bookmarkStart w:id="235" w:name="_Toc41559598"/>
      <w:bookmarkStart w:id="236" w:name="_Toc41591120"/>
      <w:r>
        <w:rPr>
          <w:color w:val="000000" w:themeColor="text1"/>
          <w14:textFill>
            <w14:solidFill>
              <w14:schemeClr w14:val="tx1"/>
            </w14:solidFill>
          </w14:textFill>
        </w:rPr>
        <w:t>融资风险</w:t>
      </w:r>
      <w:bookmarkEnd w:id="227"/>
      <w:bookmarkEnd w:id="228"/>
      <w:bookmarkEnd w:id="229"/>
      <w:bookmarkEnd w:id="230"/>
      <w:bookmarkEnd w:id="231"/>
      <w:bookmarkEnd w:id="232"/>
      <w:bookmarkEnd w:id="233"/>
      <w:bookmarkEnd w:id="234"/>
      <w:bookmarkEnd w:id="235"/>
      <w:bookmarkEnd w:id="236"/>
    </w:p>
    <w:p w14:paraId="79D3A95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融资风险主要包括融资金额不足、融资成本超预期、融资利率波动等风险。</w:t>
      </w:r>
      <w:r>
        <w:rPr>
          <w:rFonts w:hint="eastAsia"/>
          <w:color w:val="000000" w:themeColor="text1"/>
          <w14:textFill>
            <w14:solidFill>
              <w14:schemeClr w14:val="tx1"/>
            </w14:solidFill>
          </w14:textFill>
        </w:rPr>
        <w:t>其中最主要的表现形式是资金筹措困难，导致融资成本增加，甚至可能出现融资失败。由于本项目的投资大、周期长，要求社会资本具备较强的经济实力及履约能力，以保障项目能够及时、足额的获取融资资金。项目融资风险主要由项目公司承担</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政府方给予一定的政策支持和配合</w:t>
      </w:r>
      <w:r>
        <w:rPr>
          <w:color w:val="000000" w:themeColor="text1"/>
          <w14:textFill>
            <w14:solidFill>
              <w14:schemeClr w14:val="tx1"/>
            </w14:solidFill>
          </w14:textFill>
        </w:rPr>
        <w:t>。</w:t>
      </w:r>
    </w:p>
    <w:p w14:paraId="70337CF7">
      <w:pPr>
        <w:pStyle w:val="7"/>
        <w:ind w:firstLine="562"/>
        <w:rPr>
          <w:color w:val="000000" w:themeColor="text1"/>
          <w14:textFill>
            <w14:solidFill>
              <w14:schemeClr w14:val="tx1"/>
            </w14:solidFill>
          </w14:textFill>
        </w:rPr>
      </w:pPr>
      <w:bookmarkStart w:id="237" w:name="_Toc41636153"/>
      <w:bookmarkStart w:id="238" w:name="_Toc30868"/>
      <w:bookmarkStart w:id="239" w:name="_Toc15458"/>
      <w:bookmarkStart w:id="240" w:name="_Toc41055868"/>
      <w:bookmarkStart w:id="241" w:name="_Toc6266"/>
      <w:bookmarkStart w:id="242" w:name="_Toc41559599"/>
      <w:bookmarkStart w:id="243" w:name="_Toc43278564"/>
      <w:bookmarkStart w:id="244" w:name="_Toc43228492"/>
      <w:bookmarkStart w:id="245" w:name="_Toc41591121"/>
      <w:bookmarkStart w:id="246" w:name="_Toc59113316"/>
      <w:r>
        <w:rPr>
          <w:rFonts w:hint="eastAsia"/>
          <w:color w:val="000000" w:themeColor="text1"/>
          <w:lang w:val="en-US" w:eastAsia="zh-CN"/>
          <w14:textFill>
            <w14:solidFill>
              <w14:schemeClr w14:val="tx1"/>
            </w14:solidFill>
          </w14:textFill>
        </w:rPr>
        <w:t>前期准备风险</w:t>
      </w:r>
    </w:p>
    <w:p w14:paraId="1A785767">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前期准备阶段风险主要包括土地取得风险、选址不当风险、项目公司取得前期工作手续取得不及时风险。项目前期准备阶段的土地取得风险及选址不当风险由政府方承担，</w:t>
      </w:r>
      <w:r>
        <w:rPr>
          <w:rFonts w:hint="eastAsia" w:ascii="Times New Roman" w:hAnsi="Times New Roman" w:eastAsia="仿宋" w:cs="Times New Roman"/>
          <w:color w:val="000000"/>
          <w:kern w:val="2"/>
          <w:sz w:val="28"/>
          <w:szCs w:val="22"/>
          <w:lang w:val="en-US" w:eastAsia="zh-CN" w:bidi="ar"/>
        </w:rPr>
        <w:t>项目公司取得前期工作手续取得不及时风险由双方共担</w:t>
      </w:r>
      <w:r>
        <w:rPr>
          <w:rFonts w:hint="eastAsia"/>
          <w:color w:val="000000" w:themeColor="text1"/>
          <w:lang w:val="en-US" w:eastAsia="zh-CN"/>
          <w14:textFill>
            <w14:solidFill>
              <w14:schemeClr w14:val="tx1"/>
            </w14:solidFill>
          </w14:textFill>
        </w:rPr>
        <w:t>。</w:t>
      </w:r>
    </w:p>
    <w:p w14:paraId="4815225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建设风险</w:t>
      </w:r>
      <w:bookmarkEnd w:id="237"/>
      <w:bookmarkEnd w:id="238"/>
      <w:bookmarkEnd w:id="239"/>
      <w:bookmarkEnd w:id="240"/>
      <w:bookmarkEnd w:id="241"/>
      <w:bookmarkEnd w:id="242"/>
      <w:bookmarkEnd w:id="243"/>
      <w:bookmarkEnd w:id="244"/>
      <w:bookmarkEnd w:id="245"/>
      <w:bookmarkEnd w:id="246"/>
    </w:p>
    <w:p w14:paraId="6DD3171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风险主要包括勘察设计不当、未按设计文件建设、土地无法正常使用、承包商违约、审批延误、工程变更、施工成本上涨、工期延误、施工技术不当、工程质量不达标、环境污染或破坏、工地安全事故、分包商违约等风险。</w:t>
      </w:r>
    </w:p>
    <w:p w14:paraId="148119A6">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由政府原因导致的审批延误、工程变更、施工成本增加、工期延误等风险由政府承担，其余建设风险由项目公司承担。</w:t>
      </w:r>
    </w:p>
    <w:p w14:paraId="5629524D">
      <w:pPr>
        <w:pStyle w:val="7"/>
        <w:ind w:firstLine="562"/>
        <w:rPr>
          <w:color w:val="000000" w:themeColor="text1"/>
          <w14:textFill>
            <w14:solidFill>
              <w14:schemeClr w14:val="tx1"/>
            </w14:solidFill>
          </w14:textFill>
        </w:rPr>
      </w:pPr>
      <w:bookmarkStart w:id="247" w:name="_Toc41559600"/>
      <w:bookmarkStart w:id="248" w:name="_Toc15682"/>
      <w:bookmarkStart w:id="249" w:name="_Toc41591122"/>
      <w:bookmarkStart w:id="250" w:name="_Toc6353"/>
      <w:bookmarkStart w:id="251" w:name="_Toc41055869"/>
      <w:bookmarkStart w:id="252" w:name="_Toc59113317"/>
      <w:bookmarkStart w:id="253" w:name="_Toc41636154"/>
      <w:bookmarkStart w:id="254" w:name="_Toc43228493"/>
      <w:bookmarkStart w:id="255" w:name="_Toc43278565"/>
      <w:bookmarkStart w:id="256" w:name="_Toc3658"/>
      <w:r>
        <w:rPr>
          <w:color w:val="000000" w:themeColor="text1"/>
          <w14:textFill>
            <w14:solidFill>
              <w14:schemeClr w14:val="tx1"/>
            </w14:solidFill>
          </w14:textFill>
        </w:rPr>
        <w:t>运营风险</w:t>
      </w:r>
      <w:bookmarkEnd w:id="247"/>
      <w:bookmarkEnd w:id="248"/>
      <w:bookmarkEnd w:id="249"/>
      <w:bookmarkEnd w:id="250"/>
      <w:bookmarkEnd w:id="251"/>
      <w:bookmarkEnd w:id="252"/>
      <w:bookmarkEnd w:id="253"/>
      <w:bookmarkEnd w:id="254"/>
      <w:bookmarkEnd w:id="255"/>
      <w:bookmarkEnd w:id="256"/>
    </w:p>
    <w:p w14:paraId="0A472D8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运营风险主要包括运营维护成本上涨、运营违约、辅助材料供应</w:t>
      </w:r>
      <w:r>
        <w:rPr>
          <w:rFonts w:hint="eastAsia"/>
          <w:color w:val="000000" w:themeColor="text1"/>
          <w14:textFill>
            <w14:solidFill>
              <w14:schemeClr w14:val="tx1"/>
            </w14:solidFill>
          </w14:textFill>
        </w:rPr>
        <w:t>不足</w:t>
      </w:r>
      <w:r>
        <w:rPr>
          <w:color w:val="000000" w:themeColor="text1"/>
          <w14:textFill>
            <w14:solidFill>
              <w14:schemeClr w14:val="tx1"/>
            </w14:solidFill>
          </w14:textFill>
        </w:rPr>
        <w:t>、环境污染或破环、运营质量不达标、运营维护安全等风险。</w:t>
      </w:r>
    </w:p>
    <w:p w14:paraId="67A9D6C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维护成本上涨风险：导致运营维护成本上涨的原因主要分为市级政府可控的标准变更、市级政府不可控的标准变更、通货膨胀等市场原因以及项目公司运营管理水平低。其中，市级政府可控的标准变更导致的成本上涨主要由政府承担，运营管理水平低等原因导致的成本上涨由项目公司承担，市级政府不可控的标准变更及通货膨胀等市场原因导致的成本上涨由政府和项目公司</w:t>
      </w:r>
      <w:r>
        <w:rPr>
          <w:rFonts w:hint="eastAsia"/>
        </w:rPr>
        <w:t>按照恢复同等经济地位原则</w:t>
      </w:r>
      <w:r>
        <w:rPr>
          <w:rFonts w:hint="eastAsia"/>
          <w:color w:val="000000" w:themeColor="text1"/>
          <w14:textFill>
            <w14:solidFill>
              <w14:schemeClr w14:val="tx1"/>
            </w14:solidFill>
          </w14:textFill>
        </w:rPr>
        <w:t>共担；</w:t>
      </w:r>
    </w:p>
    <w:p w14:paraId="79A06D9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运营违约：运营期间，政府和项目公司应按照相关法律法规的规定及特许经营协议的约定履行其权利和义务，并各自承担其违约风险；</w:t>
      </w:r>
    </w:p>
    <w:p w14:paraId="1A9A5FD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辅助材料供应风险：辅助材料供应属项目公司与材料供应商之间约定事宜，由于辅助材料供应因素导致项目运营不善的风险由项目公司承担；</w:t>
      </w:r>
    </w:p>
    <w:p w14:paraId="2F5C080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环境污染或破坏风险：运营期间，项目公司应遵守相关规定保护环境，预防环境污染，</w:t>
      </w:r>
      <w:r>
        <w:rPr>
          <w:rFonts w:hint="eastAsia"/>
          <w:color w:val="000000" w:themeColor="text1"/>
          <w:lang w:val="en-US" w:eastAsia="zh-CN"/>
          <w14:textFill>
            <w14:solidFill>
              <w14:schemeClr w14:val="tx1"/>
            </w14:solidFill>
          </w14:textFill>
        </w:rPr>
        <w:t>可能产生的风险有：二噁英等有害物质排放、炉渣和飞灰处理不当等，其</w:t>
      </w:r>
      <w:r>
        <w:rPr>
          <w:rFonts w:hint="eastAsia"/>
          <w:color w:val="000000" w:themeColor="text1"/>
          <w14:textFill>
            <w14:solidFill>
              <w14:schemeClr w14:val="tx1"/>
            </w14:solidFill>
          </w14:textFill>
        </w:rPr>
        <w:t>造成环境污染或破坏而产生损失的风险应由项目公司承担；缓解环境影响的综合措施</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建立完善的环境管理体系，定期进行环境影响评估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持续投入研发，提升焚烧技术和设备水平，减少环境污染</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加强与公众的沟通与互动，提高项目透明度，增强公众信任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推动垃圾焚烧发电与资源回收利用相结合，实现绿色发展。</w:t>
      </w:r>
    </w:p>
    <w:p w14:paraId="78AD12F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运营质量不达标风险：项目公司负责本项目的运营维护工作，运营过程中由于设施维护不当或不及时而造成的经济损失等风险，由项目公司承担；</w:t>
      </w:r>
    </w:p>
    <w:p w14:paraId="22BC80F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运营维护安全风险：</w:t>
      </w:r>
      <w:bookmarkStart w:id="257" w:name="_Hlk36797662"/>
      <w:r>
        <w:rPr>
          <w:rFonts w:hint="eastAsia"/>
          <w:color w:val="000000" w:themeColor="text1"/>
          <w14:textFill>
            <w14:solidFill>
              <w14:schemeClr w14:val="tx1"/>
            </w14:solidFill>
          </w14:textFill>
        </w:rPr>
        <w:t>运营期间，除因项目公司自身原因导致的运营维护安全问题由项目公司承担外，若出现其他运营维护安全问题则应遵照政府相关主管部门对事故责任的判定结果执行，由相关责任人承担相应损失；若存在异议，</w:t>
      </w:r>
      <w:bookmarkEnd w:id="257"/>
      <w:r>
        <w:rPr>
          <w:rFonts w:hint="eastAsia"/>
          <w:color w:val="000000" w:themeColor="text1"/>
          <w14:textFill>
            <w14:solidFill>
              <w14:schemeClr w14:val="tx1"/>
            </w14:solidFill>
          </w14:textFill>
        </w:rPr>
        <w:t>则任何一方有权向项目所在地人民法院提起诉讼。</w:t>
      </w:r>
    </w:p>
    <w:p w14:paraId="7D1C21BD">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垃圾处理量不足的风险：运营期间，由于垃圾分类不彻底、居民参与度不高或垃圾收集系统不完善，导致实际收集到的垃圾量低于项目设计的处理能力；垃圾中混有大量不可燃或难燃物质，降低了垃圾的有效热值，影响焚烧效率和发电量；某些地区垃圾产生量存在季节性波动，特别是在节假日或特定季节，垃圾量可能显著减少。上述运营期间可能遇到的垃圾处理量不足的风险由项目公司进行承担。</w:t>
      </w:r>
    </w:p>
    <w:p w14:paraId="6AFC228C">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网发电省补不能到位风险：本项目前15年电价为0.3829元/kwh，其中包含0.1元的省补，政府方承诺协助申请省补，若运营期间省补无法申请到位，届时采取调价方式由双方协商解决，其风险由双方共担，按照恢复同等经济地位原则调整。</w:t>
      </w:r>
    </w:p>
    <w:p w14:paraId="34AB6BDA">
      <w:pPr>
        <w:pStyle w:val="7"/>
        <w:ind w:firstLine="562"/>
        <w:rPr>
          <w:color w:val="000000" w:themeColor="text1"/>
          <w14:textFill>
            <w14:solidFill>
              <w14:schemeClr w14:val="tx1"/>
            </w14:solidFill>
          </w14:textFill>
        </w:rPr>
      </w:pPr>
      <w:bookmarkStart w:id="258" w:name="_Toc17018"/>
      <w:bookmarkStart w:id="259" w:name="_Toc59113318"/>
      <w:bookmarkStart w:id="260" w:name="_Toc41055870"/>
      <w:bookmarkStart w:id="261" w:name="_Toc2913"/>
      <w:bookmarkStart w:id="262" w:name="_Toc11063"/>
      <w:bookmarkStart w:id="263" w:name="_Toc41591123"/>
      <w:bookmarkStart w:id="264" w:name="_Toc41559601"/>
      <w:bookmarkStart w:id="265" w:name="_Toc43278566"/>
      <w:bookmarkStart w:id="266" w:name="_Toc43228494"/>
      <w:bookmarkStart w:id="267" w:name="_Toc41636155"/>
      <w:r>
        <w:rPr>
          <w:color w:val="000000" w:themeColor="text1"/>
          <w14:textFill>
            <w14:solidFill>
              <w14:schemeClr w14:val="tx1"/>
            </w14:solidFill>
          </w14:textFill>
        </w:rPr>
        <w:t>移交风险</w:t>
      </w:r>
      <w:bookmarkEnd w:id="258"/>
      <w:bookmarkEnd w:id="259"/>
      <w:bookmarkEnd w:id="260"/>
      <w:bookmarkEnd w:id="261"/>
      <w:bookmarkEnd w:id="262"/>
      <w:bookmarkEnd w:id="263"/>
      <w:bookmarkEnd w:id="264"/>
      <w:bookmarkEnd w:id="265"/>
      <w:bookmarkEnd w:id="266"/>
      <w:bookmarkEnd w:id="267"/>
    </w:p>
    <w:p w14:paraId="2F555CE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移交风险主要包括移交条件不达标、移交费用超预算、移交后一年内设施质量问题、移交税费等风险。由于设施设备折旧严重或使用损毁而不满足移交要求，以及潜在的隐患导致项目移交后一年内出现设施质量问题等风险，应由项目公司承担。移交时产生的相应税费，应根据届时税法规定各自承担相应税费。</w:t>
      </w:r>
    </w:p>
    <w:p w14:paraId="78DA6B39">
      <w:pPr>
        <w:pStyle w:val="7"/>
        <w:ind w:firstLine="562"/>
        <w:rPr>
          <w:color w:val="000000" w:themeColor="text1"/>
          <w14:textFill>
            <w14:solidFill>
              <w14:schemeClr w14:val="tx1"/>
            </w14:solidFill>
          </w14:textFill>
        </w:rPr>
      </w:pPr>
      <w:bookmarkStart w:id="268" w:name="_Toc41055871"/>
      <w:bookmarkStart w:id="269" w:name="_Toc41591124"/>
      <w:bookmarkStart w:id="270" w:name="_Toc43228495"/>
      <w:bookmarkStart w:id="271" w:name="_Toc41636156"/>
      <w:bookmarkStart w:id="272" w:name="_Toc41559602"/>
      <w:bookmarkStart w:id="273" w:name="_Toc21389"/>
      <w:bookmarkStart w:id="274" w:name="_Toc26942"/>
      <w:bookmarkStart w:id="275" w:name="_Toc43278567"/>
      <w:bookmarkStart w:id="276" w:name="_Toc29643"/>
      <w:bookmarkStart w:id="277" w:name="_Toc59113319"/>
      <w:r>
        <w:rPr>
          <w:color w:val="000000" w:themeColor="text1"/>
          <w14:textFill>
            <w14:solidFill>
              <w14:schemeClr w14:val="tx1"/>
            </w14:solidFill>
          </w14:textFill>
        </w:rPr>
        <w:t>政治风险</w:t>
      </w:r>
      <w:bookmarkEnd w:id="268"/>
      <w:bookmarkEnd w:id="269"/>
      <w:bookmarkEnd w:id="270"/>
      <w:bookmarkEnd w:id="271"/>
      <w:bookmarkEnd w:id="272"/>
      <w:bookmarkEnd w:id="273"/>
      <w:bookmarkEnd w:id="274"/>
      <w:bookmarkEnd w:id="275"/>
      <w:bookmarkEnd w:id="276"/>
      <w:bookmarkEnd w:id="277"/>
    </w:p>
    <w:p w14:paraId="6E50715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政治风险主要包括政府信用、政府决策过程</w:t>
      </w:r>
      <w:bookmarkStart w:id="278" w:name="_Toc479768133"/>
      <w:r>
        <w:rPr>
          <w:color w:val="000000" w:themeColor="text1"/>
          <w14:textFill>
            <w14:solidFill>
              <w14:schemeClr w14:val="tx1"/>
            </w14:solidFill>
          </w14:textFill>
        </w:rPr>
        <w:t>冗长</w:t>
      </w:r>
      <w:bookmarkEnd w:id="278"/>
      <w:r>
        <w:rPr>
          <w:color w:val="000000" w:themeColor="text1"/>
          <w14:textFill>
            <w14:solidFill>
              <w14:schemeClr w14:val="tx1"/>
            </w14:solidFill>
          </w14:textFill>
        </w:rPr>
        <w:t>、政府征收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公众反对等风险。</w:t>
      </w:r>
      <w:r>
        <w:rPr>
          <w:rFonts w:hint="eastAsia"/>
          <w:color w:val="000000" w:themeColor="text1"/>
          <w14:textFill>
            <w14:solidFill>
              <w14:schemeClr w14:val="tx1"/>
            </w14:solidFill>
          </w14:textFill>
        </w:rPr>
        <w:t>项目政治风险主要由政府相关部门承担</w:t>
      </w:r>
      <w:r>
        <w:rPr>
          <w:color w:val="000000" w:themeColor="text1"/>
          <w14:textFill>
            <w14:solidFill>
              <w14:schemeClr w14:val="tx1"/>
            </w14:solidFill>
          </w14:textFill>
        </w:rPr>
        <w:t>。</w:t>
      </w:r>
    </w:p>
    <w:p w14:paraId="1F1874AA">
      <w:pPr>
        <w:pStyle w:val="7"/>
        <w:ind w:firstLine="562"/>
        <w:rPr>
          <w:color w:val="000000" w:themeColor="text1"/>
          <w14:textFill>
            <w14:solidFill>
              <w14:schemeClr w14:val="tx1"/>
            </w14:solidFill>
          </w14:textFill>
        </w:rPr>
      </w:pPr>
      <w:bookmarkStart w:id="279" w:name="_Toc41559603"/>
      <w:bookmarkStart w:id="280" w:name="_Toc21326"/>
      <w:bookmarkStart w:id="281" w:name="_Toc20326"/>
      <w:bookmarkStart w:id="282" w:name="_Toc43278568"/>
      <w:bookmarkStart w:id="283" w:name="_Toc43228496"/>
      <w:bookmarkStart w:id="284" w:name="_Toc41055872"/>
      <w:bookmarkStart w:id="285" w:name="_Toc41636157"/>
      <w:bookmarkStart w:id="286" w:name="_Toc41591125"/>
      <w:bookmarkStart w:id="287" w:name="_Toc59113320"/>
      <w:bookmarkStart w:id="288" w:name="_Toc15917"/>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风险</w:t>
      </w:r>
      <w:bookmarkEnd w:id="279"/>
      <w:bookmarkEnd w:id="280"/>
      <w:bookmarkEnd w:id="281"/>
      <w:bookmarkEnd w:id="282"/>
      <w:bookmarkEnd w:id="283"/>
      <w:bookmarkEnd w:id="284"/>
      <w:bookmarkEnd w:id="285"/>
      <w:bookmarkEnd w:id="286"/>
      <w:bookmarkEnd w:id="287"/>
      <w:bookmarkEnd w:id="288"/>
    </w:p>
    <w:p w14:paraId="08406CD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风险主要包括</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级政府不可控的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等风险</w:t>
      </w:r>
      <w:r>
        <w:rPr>
          <w:color w:val="000000" w:themeColor="text1"/>
          <w14:textFill>
            <w14:solidFill>
              <w14:schemeClr w14:val="tx1"/>
            </w14:solidFill>
          </w14:textFill>
        </w:rPr>
        <w:t>。本方案中</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包括法律、行政法规、地方性法规、自治条例和单行条例、部门规章、地方政府规章、规范性文件。</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风险主要由政府承担，市</w:t>
      </w:r>
      <w:r>
        <w:rPr>
          <w:color w:val="000000" w:themeColor="text1"/>
          <w14:textFill>
            <w14:solidFill>
              <w14:schemeClr w14:val="tx1"/>
            </w14:solidFill>
          </w14:textFill>
        </w:rPr>
        <w:t>级政府不可控的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风险</w:t>
      </w:r>
      <w:r>
        <w:rPr>
          <w:color w:val="000000" w:themeColor="text1"/>
          <w14:textFill>
            <w14:solidFill>
              <w14:schemeClr w14:val="tx1"/>
            </w14:solidFill>
          </w14:textFill>
        </w:rPr>
        <w:t>纳入</w:t>
      </w:r>
      <w:r>
        <w:rPr>
          <w:rFonts w:hint="eastAsia"/>
          <w:color w:val="000000" w:themeColor="text1"/>
          <w14:textFill>
            <w14:solidFill>
              <w14:schemeClr w14:val="tx1"/>
            </w14:solidFill>
          </w14:textFill>
        </w:rPr>
        <w:t>不可抗力，由政府和项目公司共担</w:t>
      </w:r>
      <w:r>
        <w:rPr>
          <w:color w:val="000000" w:themeColor="text1"/>
          <w14:textFill>
            <w14:solidFill>
              <w14:schemeClr w14:val="tx1"/>
            </w14:solidFill>
          </w14:textFill>
        </w:rPr>
        <w:t>。</w:t>
      </w:r>
    </w:p>
    <w:p w14:paraId="2A9B0CE1">
      <w:pPr>
        <w:pStyle w:val="7"/>
        <w:ind w:firstLine="562"/>
        <w:rPr>
          <w:color w:val="000000" w:themeColor="text1"/>
          <w14:textFill>
            <w14:solidFill>
              <w14:schemeClr w14:val="tx1"/>
            </w14:solidFill>
          </w14:textFill>
        </w:rPr>
      </w:pPr>
      <w:bookmarkStart w:id="289" w:name="_Toc27128"/>
      <w:bookmarkStart w:id="290" w:name="_Toc43228497"/>
      <w:bookmarkStart w:id="291" w:name="_Toc59113321"/>
      <w:bookmarkStart w:id="292" w:name="_Toc5763"/>
      <w:bookmarkStart w:id="293" w:name="_Toc41591126"/>
      <w:bookmarkStart w:id="294" w:name="_Toc41055873"/>
      <w:bookmarkStart w:id="295" w:name="_Toc10251"/>
      <w:bookmarkStart w:id="296" w:name="_Toc41636158"/>
      <w:bookmarkStart w:id="297" w:name="_Toc43278569"/>
      <w:bookmarkStart w:id="298" w:name="_Toc41559604"/>
      <w:r>
        <w:rPr>
          <w:color w:val="000000" w:themeColor="text1"/>
          <w14:textFill>
            <w14:solidFill>
              <w14:schemeClr w14:val="tx1"/>
            </w14:solidFill>
          </w14:textFill>
        </w:rPr>
        <w:t>不可抗力风险</w:t>
      </w:r>
      <w:bookmarkEnd w:id="289"/>
      <w:bookmarkEnd w:id="290"/>
      <w:bookmarkEnd w:id="291"/>
      <w:bookmarkEnd w:id="292"/>
      <w:bookmarkEnd w:id="293"/>
      <w:bookmarkEnd w:id="294"/>
      <w:bookmarkEnd w:id="295"/>
      <w:bookmarkEnd w:id="296"/>
      <w:bookmarkEnd w:id="297"/>
      <w:bookmarkEnd w:id="298"/>
    </w:p>
    <w:p w14:paraId="1949D8C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根据《中华人民共和国民法典（2020年）》不可抗力是“指不能预见、不能避免且不能克服的客观情况”。</w:t>
      </w:r>
      <w:bookmarkStart w:id="299" w:name="_Toc500838023"/>
      <w:r>
        <w:rPr>
          <w:rFonts w:hint="eastAsia"/>
          <w:color w:val="000000" w:themeColor="text1"/>
          <w14:textFill>
            <w14:solidFill>
              <w14:schemeClr w14:val="tx1"/>
            </w14:solidFill>
          </w14:textFill>
        </w:rPr>
        <w:t>不可抗力风险应由政府和项目公司共担。</w:t>
      </w:r>
    </w:p>
    <w:p w14:paraId="410CFC6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不可抗力风险主要包括：</w:t>
      </w:r>
    </w:p>
    <w:p w14:paraId="2A3B5C79">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雷电、干旱、地震、火山爆发、滑坡、水灾、暴风雨、海啸、洪水、台风、龙卷风或任何其他天灾；</w:t>
      </w:r>
      <w:r>
        <w:rPr>
          <w:rFonts w:hint="eastAsia"/>
          <w:color w:val="000000" w:themeColor="text1"/>
          <w:lang w:val="en-US" w:eastAsia="zh-CN"/>
          <w14:textFill>
            <w14:solidFill>
              <w14:schemeClr w14:val="tx1"/>
            </w14:solidFill>
          </w14:textFill>
        </w:rPr>
        <w:t>或超过一定限度的导致无法正常施工或运营的极端天气（狂风、严寒）等；</w:t>
      </w:r>
    </w:p>
    <w:p w14:paraId="4257671F">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大规模流行病、饥荒或瘟疫；</w:t>
      </w:r>
    </w:p>
    <w:p w14:paraId="2E1BEFF2">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战争行为（无论是宣战的或未宣战的）、入侵、武装冲突或敌对行为、封锁、暴乱、恐怖行为或军事力量的使用；</w:t>
      </w:r>
    </w:p>
    <w:p w14:paraId="00D0EF09">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在本项目土地使用权范围内发现考古文物、化石、古墓及遗址、艺术历史遗物及具有考古学、地质学和历史意义的任何其他物品；</w:t>
      </w:r>
    </w:p>
    <w:p w14:paraId="6A6ED0C2">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飞机、船只、火车失事或不能合理预见的重大交通阻滞或停运；</w:t>
      </w:r>
    </w:p>
    <w:p w14:paraId="384B8DED">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全国性、地区性或行业性罢工；</w:t>
      </w:r>
    </w:p>
    <w:p w14:paraId="45908E2C">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化学或放射性污染；</w:t>
      </w:r>
    </w:p>
    <w:p w14:paraId="301AC14B">
      <w:pPr>
        <w:numPr>
          <w:ilvl w:val="0"/>
          <w:numId w:val="60"/>
        </w:numPr>
        <w:ind w:left="0"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其他情形：如政府大型活动、周边群众阻工；</w:t>
      </w:r>
    </w:p>
    <w:p w14:paraId="55AAF5FD">
      <w:pPr>
        <w:numPr>
          <w:ilvl w:val="0"/>
          <w:numId w:val="6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市级政府不可控的法律法规变更。</w:t>
      </w:r>
    </w:p>
    <w:bookmarkEnd w:id="219"/>
    <w:bookmarkEnd w:id="220"/>
    <w:bookmarkEnd w:id="221"/>
    <w:bookmarkEnd w:id="222"/>
    <w:bookmarkEnd w:id="223"/>
    <w:bookmarkEnd w:id="224"/>
    <w:bookmarkEnd w:id="225"/>
    <w:bookmarkEnd w:id="226"/>
    <w:bookmarkEnd w:id="299"/>
    <w:p w14:paraId="4FBFC80E">
      <w:pPr>
        <w:pStyle w:val="3"/>
        <w:numPr>
          <w:ilvl w:val="0"/>
          <w:numId w:val="0"/>
        </w:numPr>
        <w:outlineLvl w:val="9"/>
        <w:rPr>
          <w:rFonts w:hint="eastAsia"/>
          <w:color w:val="000000" w:themeColor="text1"/>
          <w14:textFill>
            <w14:solidFill>
              <w14:schemeClr w14:val="tx1"/>
            </w14:solidFill>
          </w14:textFill>
        </w:rPr>
        <w:sectPr>
          <w:footerReference r:id="rId10" w:type="first"/>
          <w:footerReference r:id="rId9" w:type="default"/>
          <w:pgSz w:w="11906" w:h="16838"/>
          <w:pgMar w:top="1440" w:right="1800" w:bottom="1440" w:left="1800" w:header="851" w:footer="992" w:gutter="0"/>
          <w:pgNumType w:start="1"/>
          <w:cols w:space="425" w:num="1"/>
          <w:titlePg/>
          <w:docGrid w:type="lines" w:linePitch="312" w:charSpace="0"/>
        </w:sectPr>
      </w:pPr>
      <w:bookmarkStart w:id="300" w:name="_Toc30537"/>
    </w:p>
    <w:p w14:paraId="15F29F54">
      <w:pPr>
        <w:pStyle w:val="3"/>
        <w:numPr>
          <w:ilvl w:val="0"/>
          <w:numId w:val="0"/>
        </w:numPr>
        <w:outlineLvl w:val="1"/>
        <w:rPr>
          <w:color w:val="000000" w:themeColor="text1"/>
          <w14:textFill>
            <w14:solidFill>
              <w14:schemeClr w14:val="tx1"/>
            </w14:solidFill>
          </w14:textFill>
        </w:rPr>
      </w:pPr>
      <w:bookmarkStart w:id="301" w:name="_Toc25124"/>
      <w:r>
        <w:rPr>
          <w:rFonts w:hint="eastAsia"/>
          <w:color w:val="000000" w:themeColor="text1"/>
          <w14:textFill>
            <w14:solidFill>
              <w14:schemeClr w14:val="tx1"/>
            </w14:solidFill>
          </w14:textFill>
        </w:rPr>
        <w:t>第三部分</w:t>
      </w:r>
      <w:r>
        <w:rPr>
          <w:color w:val="000000" w:themeColor="text1"/>
          <w14:textFill>
            <w14:solidFill>
              <w14:schemeClr w14:val="tx1"/>
            </w14:solidFill>
          </w14:textFill>
        </w:rPr>
        <w:t>特许经营模式可行性论证</w:t>
      </w:r>
      <w:bookmarkEnd w:id="300"/>
      <w:bookmarkEnd w:id="301"/>
    </w:p>
    <w:p w14:paraId="17D7135D">
      <w:pPr>
        <w:pStyle w:val="5"/>
        <w:numPr>
          <w:ilvl w:val="2"/>
          <w:numId w:val="61"/>
        </w:numPr>
        <w:rPr>
          <w:color w:val="000000" w:themeColor="text1"/>
          <w14:textFill>
            <w14:solidFill>
              <w14:schemeClr w14:val="tx1"/>
            </w14:solidFill>
          </w14:textFill>
        </w:rPr>
      </w:pPr>
      <w:bookmarkStart w:id="302" w:name="_Toc14636"/>
      <w:bookmarkStart w:id="303" w:name="_Toc15382"/>
      <w:r>
        <w:rPr>
          <w:color w:val="000000" w:themeColor="text1"/>
          <w14:textFill>
            <w14:solidFill>
              <w14:schemeClr w14:val="tx1"/>
            </w14:solidFill>
          </w14:textFill>
        </w:rPr>
        <w:t>项目属性分析</w:t>
      </w:r>
      <w:bookmarkEnd w:id="302"/>
      <w:bookmarkEnd w:id="303"/>
    </w:p>
    <w:p w14:paraId="310E92F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要求</w:t>
      </w:r>
      <w:r>
        <w:rPr>
          <w:rFonts w:hint="eastAsia" w:ascii="仿宋" w:hAnsi="仿宋" w:cs="仿宋"/>
          <w:color w:val="000000" w:themeColor="text1"/>
          <w14:textFill>
            <w14:solidFill>
              <w14:schemeClr w14:val="tx1"/>
            </w14:solidFill>
          </w14:textFill>
        </w:rPr>
        <w:t>“政府和社会资本合作项目应限定于有经营性收益的项目，主要包括公路、铁路、民航基础设施和交通枢纽等交通项目，物流枢纽、物流园区项目，城镇供水、供气、供热、停车场等市政项目，城镇污水垃圾收集处理及资源化利用等生态保护和环境治理项目，具有发电功能的水利项目，体育、旅游公共服务等社会项目，智慧城市、智慧交通、智慧农业等新型基础设施项目，城市更新、综合交通枢纽改造等盘活存量和改扩建有机结合的项目。”以</w:t>
      </w:r>
      <w:r>
        <w:rPr>
          <w:color w:val="000000" w:themeColor="text1"/>
          <w14:textFill>
            <w14:solidFill>
              <w14:schemeClr w14:val="tx1"/>
            </w14:solidFill>
          </w14:textFill>
        </w:rPr>
        <w:t>及《支持民营企业参与的特许经营新建（含改扩建）项目清单（2023年版）》在</w:t>
      </w:r>
      <w:r>
        <w:rPr>
          <w:rFonts w:hint="eastAsia"/>
          <w:color w:val="000000" w:themeColor="text1"/>
          <w14:textFill>
            <w14:solidFill>
              <w14:schemeClr w14:val="tx1"/>
            </w14:solidFill>
          </w14:textFill>
        </w:rPr>
        <w:t>环保</w:t>
      </w:r>
      <w:r>
        <w:rPr>
          <w:color w:val="000000" w:themeColor="text1"/>
          <w14:textFill>
            <w14:solidFill>
              <w14:schemeClr w14:val="tx1"/>
            </w14:solidFill>
          </w14:textFill>
        </w:rPr>
        <w:t>领域中包含垃圾固废处理和垃圾焚烧发电项目。</w:t>
      </w:r>
    </w:p>
    <w:p w14:paraId="17286F0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本项目为垃圾焚烧发电项目，符合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规定的政府和社会资本合作项目聚焦领域</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项目属于具有一定公益性且存在经营收入的项目。</w:t>
      </w:r>
    </w:p>
    <w:p w14:paraId="05378DCD">
      <w:pPr>
        <w:pStyle w:val="5"/>
        <w:numPr>
          <w:ilvl w:val="2"/>
          <w:numId w:val="61"/>
        </w:numPr>
        <w:rPr>
          <w:color w:val="000000" w:themeColor="text1"/>
          <w14:textFill>
            <w14:solidFill>
              <w14:schemeClr w14:val="tx1"/>
            </w14:solidFill>
          </w14:textFill>
        </w:rPr>
      </w:pPr>
      <w:bookmarkStart w:id="304" w:name="_Toc8702"/>
      <w:bookmarkStart w:id="305" w:name="_Toc25600"/>
      <w:r>
        <w:rPr>
          <w:color w:val="000000" w:themeColor="text1"/>
          <w14:textFill>
            <w14:solidFill>
              <w14:schemeClr w14:val="tx1"/>
            </w14:solidFill>
          </w14:textFill>
        </w:rPr>
        <w:t>项目收费渠道和方式</w:t>
      </w:r>
      <w:bookmarkEnd w:id="304"/>
      <w:bookmarkEnd w:id="305"/>
    </w:p>
    <w:p w14:paraId="3F479E6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本项目运营内容主要为垃圾焚烧发电，政府方</w:t>
      </w:r>
      <w:r>
        <w:rPr>
          <w:rFonts w:hint="eastAsia"/>
          <w:color w:val="000000" w:themeColor="text1"/>
          <w:lang w:val="en-US" w:eastAsia="zh-CN"/>
          <w14:textFill>
            <w14:solidFill>
              <w14:schemeClr w14:val="tx1"/>
            </w14:solidFill>
          </w14:textFill>
        </w:rPr>
        <w:t>负责</w:t>
      </w:r>
      <w:r>
        <w:rPr>
          <w:color w:val="000000" w:themeColor="text1"/>
          <w14:textFill>
            <w14:solidFill>
              <w14:schemeClr w14:val="tx1"/>
            </w14:solidFill>
          </w14:textFill>
        </w:rPr>
        <w:t>向社会公众征收城镇垃圾处理费作为本项目资金来源支付垃圾处理</w:t>
      </w:r>
      <w:r>
        <w:rPr>
          <w:rFonts w:hint="eastAsia"/>
          <w:color w:val="000000" w:themeColor="text1"/>
          <w:lang w:val="en-US" w:eastAsia="zh-CN"/>
          <w14:textFill>
            <w14:solidFill>
              <w14:schemeClr w14:val="tx1"/>
            </w14:solidFill>
          </w14:textFill>
        </w:rPr>
        <w:t>运行补贴</w:t>
      </w:r>
      <w:r>
        <w:rPr>
          <w:color w:val="000000" w:themeColor="text1"/>
          <w14:textFill>
            <w14:solidFill>
              <w14:schemeClr w14:val="tx1"/>
            </w14:solidFill>
          </w14:textFill>
        </w:rPr>
        <w:t>。同时本工程投产后向电网输送电力，可获得一定收益，用以维持焚烧厂的正常运行。</w:t>
      </w:r>
    </w:p>
    <w:p w14:paraId="3995BB3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同时，根据</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精</w:t>
      </w:r>
      <w:r>
        <w:rPr>
          <w:rFonts w:hint="eastAsia" w:ascii="仿宋" w:hAnsi="仿宋" w:cs="仿宋"/>
          <w:color w:val="000000" w:themeColor="text1"/>
          <w14:textFill>
            <w14:solidFill>
              <w14:schemeClr w14:val="tx1"/>
            </w14:solidFill>
          </w14:textFill>
        </w:rPr>
        <w:t>神“鼓励特许经营者通过技术创新、管理创新和商业模式创新等降低建设和运营成本，提高投资收益，促进政府和社会资本合作项目更好实施。特许经营者在保障项目质量和产出（服务）效果的前提下，通过加强管理、降低成本、提升效率、积极创新等获得的额外收益主要归特许经营者所有”。</w:t>
      </w:r>
    </w:p>
    <w:p w14:paraId="403B7A2E">
      <w:pPr>
        <w:pStyle w:val="6"/>
        <w:numPr>
          <w:ilvl w:val="3"/>
          <w:numId w:val="61"/>
        </w:numPr>
        <w:spacing w:before="156" w:after="156"/>
        <w:rPr>
          <w:color w:val="000000" w:themeColor="text1"/>
          <w14:textFill>
            <w14:solidFill>
              <w14:schemeClr w14:val="tx1"/>
            </w14:solidFill>
          </w14:textFill>
        </w:rPr>
      </w:pPr>
      <w:bookmarkStart w:id="306" w:name="_Toc14139"/>
      <w:r>
        <w:rPr>
          <w:rFonts w:hint="eastAsia"/>
          <w:color w:val="000000" w:themeColor="text1"/>
          <w14:textFill>
            <w14:solidFill>
              <w14:schemeClr w14:val="tx1"/>
            </w14:solidFill>
          </w14:textFill>
        </w:rPr>
        <w:t>收费依据</w:t>
      </w:r>
      <w:bookmarkEnd w:id="306"/>
    </w:p>
    <w:p w14:paraId="44CB0AB5">
      <w:pPr>
        <w:pStyle w:val="7"/>
        <w:ind w:firstLine="56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垃圾处理运行补贴</w:t>
      </w:r>
      <w:r>
        <w:rPr>
          <w:rFonts w:hint="eastAsia"/>
          <w:color w:val="000000" w:themeColor="text1"/>
          <w14:textFill>
            <w14:solidFill>
              <w14:schemeClr w14:val="tx1"/>
            </w14:solidFill>
          </w14:textFill>
        </w:rPr>
        <w:t>依据</w:t>
      </w:r>
    </w:p>
    <w:p w14:paraId="12BFF8B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照《包头市人民政府办公室关于印发生活垃圾处理运行补贴标准的通知》（包府办发〔2025〕80号），本项目炉排炉工艺处理补贴最高不超过170元/吨（不含收运），故本方案暂按照170元/吨为上限计算垃圾处理运行补贴费用，具体价格以招标结果为准，本补贴仅用于补贴运营，不补贴建设。</w:t>
      </w:r>
    </w:p>
    <w:p w14:paraId="453B611C">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根据《包头市发展和改革委员会 包头市城市管理局关于包头市主城区生活垃圾处理费标准的通知》（包发改价费字〔2025〕749号）《包头市人民政府办公室关于印发包头市城镇生活垃圾处理费收费管理办法的通知》（包府办发〔2026〕4号），包头市主城区（昆区、青山区、东河区、九原区、石拐新区）行政区域内所有产生城镇生活垃圾的国家机关、企事业单位、个体经营者、城镇居民等，均应按规定缴纳生活垃圾处理费，垃圾处理费收费途径为随水费征收，向居民收取的垃圾费由政府指定部门专项管理，统筹使用，提高本项目资金支付保障。</w:t>
      </w:r>
    </w:p>
    <w:p w14:paraId="6FE89951">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上网发电收入收费依据</w:t>
      </w:r>
    </w:p>
    <w:p w14:paraId="494EA22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w:t>
      </w:r>
      <w:r>
        <w:rPr>
          <w:color w:val="000000" w:themeColor="text1"/>
          <w14:textFill>
            <w14:solidFill>
              <w14:schemeClr w14:val="tx1"/>
            </w14:solidFill>
          </w14:textFill>
        </w:rPr>
        <w:t>，本工程投产后向电网输送电力，可获得一定收益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用以维持焚烧厂的正常运行</w:t>
      </w:r>
      <w:r>
        <w:rPr>
          <w:rFonts w:hint="eastAsia"/>
          <w:color w:val="000000" w:themeColor="text1"/>
          <w14:textFill>
            <w14:solidFill>
              <w14:schemeClr w14:val="tx1"/>
            </w14:solidFill>
          </w14:textFill>
        </w:rPr>
        <w:t>。</w:t>
      </w:r>
    </w:p>
    <w:p w14:paraId="68AF710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前期进行测算时，上网电价按照0.65元/kWh进行估算。此0.65元/kWh的组成为国补（0.2671元/kWh）+省补（0.1元/kWh）+标杆电价（0.2829元/kWh）。</w:t>
      </w:r>
    </w:p>
    <w:p w14:paraId="2D9028F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领取国家补贴需申报国家发改委再生能源补贴清单，但自《完善生物质发电项目建设运行的实施方案》（发改能源〔2020〕1421号）、《2021年生物质发电项目建设工作方案》（发改能源〔2021〕1190号）等文件陆续出台后，逐渐形成国补退坡、竞价上网的局面，因此0.2671元/kWh的国补目前无法实现。</w:t>
      </w:r>
    </w:p>
    <w:p w14:paraId="0E800BC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内蒙古自治区省补政策没有出台废止文件（山东、江苏等省已出台取消省补文件），因此本次测算上网发电收入时，前15年上网电价采用省补（0.1元/kWh）+标杆电价（0.2829元/kWh）=0.3829元/kWh计算，后16-38年采用标杆电价0.2829元/kWh计算。</w:t>
      </w:r>
    </w:p>
    <w:p w14:paraId="61801B40">
      <w:pPr>
        <w:pStyle w:val="6"/>
        <w:numPr>
          <w:ilvl w:val="3"/>
          <w:numId w:val="61"/>
        </w:numPr>
        <w:spacing w:before="156" w:after="156"/>
        <w:rPr>
          <w:color w:val="000000" w:themeColor="text1"/>
          <w14:textFill>
            <w14:solidFill>
              <w14:schemeClr w14:val="tx1"/>
            </w14:solidFill>
          </w14:textFill>
        </w:rPr>
      </w:pPr>
      <w:bookmarkStart w:id="307" w:name="_Toc4821"/>
      <w:r>
        <w:rPr>
          <w:color w:val="000000" w:themeColor="text1"/>
          <w14:textFill>
            <w14:solidFill>
              <w14:schemeClr w14:val="tx1"/>
            </w14:solidFill>
          </w14:textFill>
        </w:rPr>
        <w:t>使用者支付意愿和支付能力分析</w:t>
      </w:r>
      <w:bookmarkEnd w:id="307"/>
    </w:p>
    <w:p w14:paraId="308F3352">
      <w:pPr>
        <w:pStyle w:val="7"/>
        <w:ind w:firstLine="562"/>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支付意愿分析</w:t>
      </w:r>
    </w:p>
    <w:p w14:paraId="47DFBBF3">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‌环保意识提升‌：</w:t>
      </w:r>
    </w:p>
    <w:p w14:paraId="32EF7E96">
      <w:pPr>
        <w:ind w:firstLine="560" w:firstLineChars="20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随着环保意识的普及和提升，居民和企业对于垃圾处理方式的关注度增加，更倾向于支持环保、可持续的垃圾处理方式。</w:t>
      </w:r>
    </w:p>
    <w:p w14:paraId="222918CF">
      <w:pPr>
        <w:ind w:firstLine="560" w:firstLineChars="20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生活垃圾焚烧发电作为一种环保的垃圾处理方式，能够将垃圾转化为能源，减少污染，因此更容易获得使用者的认可和支持。</w:t>
      </w:r>
    </w:p>
    <w:p w14:paraId="36EA08A2">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‌政策引导‌：</w:t>
      </w:r>
    </w:p>
    <w:p w14:paraId="66E0271A">
      <w:pPr>
        <w:ind w:firstLine="560" w:firstLineChars="20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政府通过政策引导，如制定垃圾分类制度、推广环保理念等，可以增强使用者的环保意识，提高其对生活垃圾焚烧发电项目的支付意愿。</w:t>
      </w:r>
    </w:p>
    <w:p w14:paraId="4F9B73D1">
      <w:pPr>
        <w:ind w:firstLine="560" w:firstLineChars="20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同时，政府还可以通过</w:t>
      </w:r>
      <w:r>
        <w:rPr>
          <w:rFonts w:hint="eastAsia"/>
          <w:color w:val="000000" w:themeColor="text1"/>
          <w:lang w:val="en-US" w:eastAsia="zh-CN"/>
          <w14:textFill>
            <w14:solidFill>
              <w14:schemeClr w14:val="tx1"/>
            </w14:solidFill>
          </w14:textFill>
        </w:rPr>
        <w:t>对市民发放</w:t>
      </w:r>
      <w:r>
        <w:rPr>
          <w:rFonts w:hint="default"/>
          <w:color w:val="000000" w:themeColor="text1"/>
          <w:lang w:val="en-US" w:eastAsia="zh-CN"/>
          <w14:textFill>
            <w14:solidFill>
              <w14:schemeClr w14:val="tx1"/>
            </w14:solidFill>
          </w14:textFill>
        </w:rPr>
        <w:t>补贴、税收优惠等政策措施，降低使用者的经济负担，进一步激发其支付意愿。</w:t>
      </w:r>
    </w:p>
    <w:p w14:paraId="2AC8A9D9">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‌项目效益宣传‌：</w:t>
      </w:r>
    </w:p>
    <w:p w14:paraId="57BB8E1F">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通过宣传生活垃圾焚烧发电项目的环境效益和社会效益，如减少污染、节约资源、促进循环经济发展等，可以增强使用者的认同感和支付意愿。</w:t>
      </w:r>
    </w:p>
    <w:p w14:paraId="41932D1D">
      <w:pPr>
        <w:pStyle w:val="7"/>
        <w:ind w:firstLine="56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支付能力分析</w:t>
      </w:r>
    </w:p>
    <w:p w14:paraId="5235A475">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‌居民支付能力‌：</w:t>
      </w:r>
    </w:p>
    <w:p w14:paraId="4534749F">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居民的支付能力主要取决于其收入水平和生活成本。在包头市，随着经济的发展和居民收入水平的提高，居民的支付能力也在不断增强。</w:t>
      </w:r>
    </w:p>
    <w:p w14:paraId="1F464BC2">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然而，对于生活垃圾焚烧发电项目的支付，还需要考虑居民的支付意愿和支付习惯。如果项目能够提供便捷、高效的垃圾处理服务，并且价格合理，那么居民的支付能力将不再是主要障碍。</w:t>
      </w:r>
    </w:p>
    <w:p w14:paraId="088AC91F">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非居民</w:t>
      </w:r>
      <w:r>
        <w:rPr>
          <w:rFonts w:hint="default"/>
          <w:color w:val="000000" w:themeColor="text1"/>
          <w:lang w:val="en-US" w:eastAsia="zh-CN"/>
          <w14:textFill>
            <w14:solidFill>
              <w14:schemeClr w14:val="tx1"/>
            </w14:solidFill>
          </w14:textFill>
        </w:rPr>
        <w:t>支付能力‌：</w:t>
      </w:r>
    </w:p>
    <w:p w14:paraId="01DB92C7">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对于</w:t>
      </w:r>
      <w:r>
        <w:rPr>
          <w:rFonts w:hint="eastAsia"/>
          <w:color w:val="000000" w:themeColor="text1"/>
          <w:lang w:val="en-US" w:eastAsia="zh-CN"/>
          <w14:textFill>
            <w14:solidFill>
              <w14:schemeClr w14:val="tx1"/>
            </w14:solidFill>
          </w14:textFill>
        </w:rPr>
        <w:t>非居民</w:t>
      </w:r>
      <w:r>
        <w:rPr>
          <w:rFonts w:hint="default"/>
          <w:color w:val="000000" w:themeColor="text1"/>
          <w:lang w:val="en-US" w:eastAsia="zh-CN"/>
          <w14:textFill>
            <w14:solidFill>
              <w14:schemeClr w14:val="tx1"/>
            </w14:solidFill>
          </w14:textFill>
        </w:rPr>
        <w:t>而言，其支付能力主要取决于其经营状况和盈利能力。在包头市，随着经济的发展和产业结构的优化，企业的盈利能力也在不断提高。</w:t>
      </w:r>
    </w:p>
    <w:p w14:paraId="248418E1">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对于产生大量生活垃圾的企业而言，选择生活垃圾焚烧发电项目不仅可以解决垃圾处理问题，还可以降低环保成本和风险。因此，这些企业通常具有较强的支付意愿和支付能力。</w:t>
      </w:r>
    </w:p>
    <w:p w14:paraId="73AA8785">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‌政府支持‌：</w:t>
      </w:r>
    </w:p>
    <w:p w14:paraId="234BF956">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政府可以通过制定相关政策和法规来规范市场秩序，保障项目的稳定运行和合理收益，从而增强使用者的支付信心和能力。</w:t>
      </w:r>
    </w:p>
    <w:p w14:paraId="2EFBAF18">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综上所述，</w:t>
      </w:r>
      <w:r>
        <w:rPr>
          <w:rFonts w:hint="eastAsia"/>
          <w:color w:val="000000" w:themeColor="text1"/>
          <w:lang w:val="en-US" w:eastAsia="zh-CN"/>
          <w14:textFill>
            <w14:solidFill>
              <w14:schemeClr w14:val="tx1"/>
            </w14:solidFill>
          </w14:textFill>
        </w:rPr>
        <w:t>本</w:t>
      </w:r>
      <w:r>
        <w:rPr>
          <w:rFonts w:hint="default"/>
          <w:color w:val="000000" w:themeColor="text1"/>
          <w:lang w:val="en-US" w:eastAsia="zh-CN"/>
          <w14:textFill>
            <w14:solidFill>
              <w14:schemeClr w14:val="tx1"/>
            </w14:solidFill>
          </w14:textFill>
        </w:rPr>
        <w:t>项目的使用者支付意愿和支付能力受到多种因素的影响。通过提高环保意识、政策引导、项目效益宣传以及政府支持等措施，可以激发使用者的支付意愿和增强其支付能力，为项目的顺利实施和稳定运行提供有力保障。</w:t>
      </w:r>
    </w:p>
    <w:p w14:paraId="663930DC">
      <w:pPr>
        <w:pStyle w:val="6"/>
        <w:numPr>
          <w:ilvl w:val="3"/>
          <w:numId w:val="61"/>
        </w:numPr>
        <w:spacing w:before="156" w:after="156"/>
        <w:rPr>
          <w:color w:val="000000" w:themeColor="text1"/>
          <w14:textFill>
            <w14:solidFill>
              <w14:schemeClr w14:val="tx1"/>
            </w14:solidFill>
          </w14:textFill>
        </w:rPr>
      </w:pPr>
      <w:bookmarkStart w:id="308" w:name="_Toc7580"/>
      <w:r>
        <w:rPr>
          <w:color w:val="000000" w:themeColor="text1"/>
          <w14:textFill>
            <w14:solidFill>
              <w14:schemeClr w14:val="tx1"/>
            </w14:solidFill>
          </w14:textFill>
        </w:rPr>
        <w:t>收益的稳定性</w:t>
      </w:r>
      <w:bookmarkEnd w:id="308"/>
    </w:p>
    <w:p w14:paraId="4E4E4644">
      <w:pPr>
        <w:pStyle w:val="7"/>
        <w:ind w:firstLine="562"/>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‌垃圾供应量稳定性‌</w:t>
      </w:r>
    </w:p>
    <w:p w14:paraId="14E373BA">
      <w:pPr>
        <w:ind w:firstLine="560" w:firstLineChars="20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垃圾供应量的稳定是项目收益稳定的基础。通过深入分析包头市垃圾产生量</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目前原</w:t>
      </w:r>
      <w:r>
        <w:rPr>
          <w:color w:val="000000" w:themeColor="text1"/>
          <w14:textFill>
            <w14:solidFill>
              <w14:schemeClr w14:val="tx1"/>
            </w14:solidFill>
          </w14:textFill>
        </w:rPr>
        <w:t>生活垃圾处理中心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昆都仑区卜尔汉图镇包头市生活垃圾处理中心地块填埋场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目前实际垃圾进场量约500t/d，东河生活垃圾填埋场，目前实际垃圾进场量400t/d，</w:t>
      </w:r>
      <w:r>
        <w:rPr>
          <w:rFonts w:hint="eastAsia"/>
          <w:color w:val="000000" w:themeColor="text1"/>
          <w14:textFill>
            <w14:solidFill>
              <w14:schemeClr w14:val="tx1"/>
            </w14:solidFill>
          </w14:textFill>
        </w:rPr>
        <w:t>且垃圾进场量较稳定</w:t>
      </w:r>
      <w:r>
        <w:rPr>
          <w:color w:val="000000" w:themeColor="text1"/>
          <w14:textFill>
            <w14:solidFill>
              <w14:schemeClr w14:val="tx1"/>
            </w14:solidFill>
          </w14:textFill>
        </w:rPr>
        <w:t>。</w:t>
      </w:r>
    </w:p>
    <w:p w14:paraId="74DB6F3F">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同时</w:t>
      </w:r>
      <w:r>
        <w:rPr>
          <w:color w:val="000000" w:themeColor="text1"/>
          <w14:textFill>
            <w14:solidFill>
              <w14:schemeClr w14:val="tx1"/>
            </w14:solidFill>
          </w14:textFill>
        </w:rPr>
        <w:t>根据环卫部门统计数据，</w:t>
      </w:r>
      <w:r>
        <w:rPr>
          <w:rFonts w:hint="eastAsia"/>
          <w:color w:val="000000" w:themeColor="text1"/>
          <w14:textFill>
            <w14:solidFill>
              <w14:schemeClr w14:val="tx1"/>
            </w14:solidFill>
          </w14:textFill>
        </w:rPr>
        <w:t>近年来包头市</w:t>
      </w:r>
      <w:r>
        <w:rPr>
          <w:color w:val="000000" w:themeColor="text1"/>
          <w14:textFill>
            <w14:solidFill>
              <w14:schemeClr w14:val="tx1"/>
            </w14:solidFill>
          </w14:textFill>
        </w:rPr>
        <w:t>全市</w:t>
      </w:r>
      <w:r>
        <w:rPr>
          <w:rFonts w:hint="eastAsia"/>
          <w:color w:val="000000" w:themeColor="text1"/>
          <w14:textFill>
            <w14:solidFill>
              <w14:schemeClr w14:val="tx1"/>
            </w14:solidFill>
          </w14:textFill>
        </w:rPr>
        <w:t>日清运</w:t>
      </w:r>
      <w:r>
        <w:rPr>
          <w:color w:val="000000" w:themeColor="text1"/>
          <w14:textFill>
            <w14:solidFill>
              <w14:schemeClr w14:val="tx1"/>
            </w14:solidFill>
          </w14:textFill>
        </w:rPr>
        <w:t>生活垃圾产生量总体递增趋势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目前全市垃圾量基本稳定在2424t/d</w:t>
      </w:r>
      <w:r>
        <w:rPr>
          <w:rFonts w:hint="eastAsia"/>
          <w:color w:val="000000" w:themeColor="text1"/>
          <w14:textFill>
            <w14:solidFill>
              <w14:schemeClr w14:val="tx1"/>
            </w14:solidFill>
          </w14:textFill>
        </w:rPr>
        <w:t>，具体情况</w:t>
      </w:r>
      <w:r>
        <w:rPr>
          <w:color w:val="000000" w:themeColor="text1"/>
          <w14:textFill>
            <w14:solidFill>
              <w14:schemeClr w14:val="tx1"/>
            </w14:solidFill>
          </w14:textFill>
        </w:rPr>
        <w:t>如下：</w:t>
      </w:r>
    </w:p>
    <w:p w14:paraId="78585330">
      <w:pPr>
        <w:pStyle w:val="2"/>
        <w:rPr>
          <w:color w:val="000000" w:themeColor="text1"/>
          <w14:textFill>
            <w14:solidFill>
              <w14:schemeClr w14:val="tx1"/>
            </w14:solidFill>
          </w14:textFill>
        </w:rPr>
      </w:pPr>
    </w:p>
    <w:p w14:paraId="58D28AD5">
      <w:pPr>
        <w:rPr>
          <w:color w:val="000000" w:themeColor="text1"/>
          <w14:textFill>
            <w14:solidFill>
              <w14:schemeClr w14:val="tx1"/>
            </w14:solidFill>
          </w14:textFill>
        </w:rPr>
      </w:pPr>
    </w:p>
    <w:p w14:paraId="04F43341">
      <w:pPr>
        <w:pStyle w:val="2"/>
      </w:pPr>
    </w:p>
    <w:p w14:paraId="2147CB6F">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生活垃圾日清运量数据统计表</w:t>
      </w:r>
    </w:p>
    <w:tbl>
      <w:tblPr>
        <w:tblStyle w:val="52"/>
        <w:tblW w:w="7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9"/>
        <w:gridCol w:w="2038"/>
        <w:gridCol w:w="2084"/>
        <w:gridCol w:w="2301"/>
      </w:tblGrid>
      <w:tr w14:paraId="721E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859" w:type="dxa"/>
            <w:shd w:val="clear" w:color="auto" w:fill="BDD6EE" w:themeFill="accent1" w:themeFillTint="66"/>
            <w:vAlign w:val="center"/>
          </w:tcPr>
          <w:p w14:paraId="5A542B6D">
            <w:pPr>
              <w:spacing w:line="228" w:lineRule="auto"/>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3"/>
                <w:sz w:val="24"/>
                <w:szCs w:val="24"/>
                <w14:textFill>
                  <w14:solidFill>
                    <w14:schemeClr w14:val="tx1"/>
                  </w14:solidFill>
                </w14:textFill>
              </w:rPr>
              <w:t>年份</w:t>
            </w:r>
          </w:p>
        </w:tc>
        <w:tc>
          <w:tcPr>
            <w:tcW w:w="2038" w:type="dxa"/>
            <w:shd w:val="clear" w:color="auto" w:fill="BDD6EE" w:themeFill="accent1" w:themeFillTint="66"/>
            <w:vAlign w:val="center"/>
          </w:tcPr>
          <w:p w14:paraId="6A12E716">
            <w:pPr>
              <w:spacing w:line="228" w:lineRule="auto"/>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7"/>
                <w:sz w:val="24"/>
                <w:szCs w:val="24"/>
                <w14:textFill>
                  <w14:solidFill>
                    <w14:schemeClr w14:val="tx1"/>
                  </w14:solidFill>
                </w14:textFill>
              </w:rPr>
              <w:t>全市垃圾清运量</w:t>
            </w:r>
          </w:p>
          <w:p w14:paraId="723825CF">
            <w:pPr>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（t/d）</w:t>
            </w:r>
          </w:p>
        </w:tc>
        <w:tc>
          <w:tcPr>
            <w:tcW w:w="2084" w:type="dxa"/>
            <w:shd w:val="clear" w:color="auto" w:fill="BDD6EE" w:themeFill="accent1" w:themeFillTint="66"/>
            <w:vAlign w:val="center"/>
          </w:tcPr>
          <w:p w14:paraId="6F0F68D6">
            <w:pPr>
              <w:spacing w:line="228" w:lineRule="auto"/>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市五区垃圾清运量</w:t>
            </w:r>
          </w:p>
          <w:p w14:paraId="3D35D6A6">
            <w:pPr>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（t/d）</w:t>
            </w:r>
          </w:p>
        </w:tc>
        <w:tc>
          <w:tcPr>
            <w:tcW w:w="2301" w:type="dxa"/>
            <w:shd w:val="clear" w:color="auto" w:fill="BDD6EE" w:themeFill="accent1" w:themeFillTint="66"/>
            <w:vAlign w:val="center"/>
          </w:tcPr>
          <w:p w14:paraId="5578705A">
            <w:pPr>
              <w:spacing w:line="228" w:lineRule="auto"/>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6"/>
                <w:sz w:val="24"/>
                <w:szCs w:val="24"/>
                <w14:textFill>
                  <w14:solidFill>
                    <w14:schemeClr w14:val="tx1"/>
                  </w14:solidFill>
                </w14:textFill>
              </w:rPr>
              <w:t>外五区垃圾清运量</w:t>
            </w:r>
          </w:p>
          <w:p w14:paraId="087B0291">
            <w:pPr>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pacing w:val="-2"/>
                <w:sz w:val="24"/>
                <w:szCs w:val="24"/>
                <w14:textFill>
                  <w14:solidFill>
                    <w14:schemeClr w14:val="tx1"/>
                  </w14:solidFill>
                </w14:textFill>
              </w:rPr>
              <w:t>（t/d）</w:t>
            </w:r>
          </w:p>
        </w:tc>
      </w:tr>
      <w:tr w14:paraId="0B07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859" w:type="dxa"/>
            <w:vAlign w:val="center"/>
          </w:tcPr>
          <w:p w14:paraId="0AE2E73D">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2018</w:t>
            </w:r>
          </w:p>
        </w:tc>
        <w:tc>
          <w:tcPr>
            <w:tcW w:w="2038" w:type="dxa"/>
            <w:vAlign w:val="center"/>
          </w:tcPr>
          <w:p w14:paraId="3DCDC988">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1963.49</w:t>
            </w:r>
          </w:p>
        </w:tc>
        <w:tc>
          <w:tcPr>
            <w:tcW w:w="2084" w:type="dxa"/>
            <w:vAlign w:val="center"/>
          </w:tcPr>
          <w:p w14:paraId="1AB92CFE">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1647.39</w:t>
            </w:r>
          </w:p>
        </w:tc>
        <w:tc>
          <w:tcPr>
            <w:tcW w:w="2301" w:type="dxa"/>
            <w:vAlign w:val="center"/>
          </w:tcPr>
          <w:p w14:paraId="4CFFC3CB">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316.1</w:t>
            </w:r>
          </w:p>
        </w:tc>
      </w:tr>
      <w:tr w14:paraId="11B9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859" w:type="dxa"/>
            <w:vAlign w:val="center"/>
          </w:tcPr>
          <w:p w14:paraId="2E4D30B9">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2019</w:t>
            </w:r>
          </w:p>
        </w:tc>
        <w:tc>
          <w:tcPr>
            <w:tcW w:w="2038" w:type="dxa"/>
            <w:vAlign w:val="center"/>
          </w:tcPr>
          <w:p w14:paraId="6252E54C">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2460.48</w:t>
            </w:r>
          </w:p>
        </w:tc>
        <w:tc>
          <w:tcPr>
            <w:tcW w:w="2084" w:type="dxa"/>
            <w:vAlign w:val="center"/>
          </w:tcPr>
          <w:p w14:paraId="21338860">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2168.83</w:t>
            </w:r>
          </w:p>
        </w:tc>
        <w:tc>
          <w:tcPr>
            <w:tcW w:w="2301" w:type="dxa"/>
            <w:vAlign w:val="center"/>
          </w:tcPr>
          <w:p w14:paraId="510396B4">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291.65</w:t>
            </w:r>
          </w:p>
        </w:tc>
      </w:tr>
      <w:tr w14:paraId="09ED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859" w:type="dxa"/>
            <w:vAlign w:val="center"/>
          </w:tcPr>
          <w:p w14:paraId="0C65A202">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2020</w:t>
            </w:r>
          </w:p>
        </w:tc>
        <w:tc>
          <w:tcPr>
            <w:tcW w:w="2038" w:type="dxa"/>
            <w:vAlign w:val="center"/>
          </w:tcPr>
          <w:p w14:paraId="3204D542">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2324.75</w:t>
            </w:r>
          </w:p>
        </w:tc>
        <w:tc>
          <w:tcPr>
            <w:tcW w:w="2084" w:type="dxa"/>
            <w:vAlign w:val="center"/>
          </w:tcPr>
          <w:p w14:paraId="7E761718">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2032.95</w:t>
            </w:r>
          </w:p>
        </w:tc>
        <w:tc>
          <w:tcPr>
            <w:tcW w:w="2301" w:type="dxa"/>
            <w:vAlign w:val="center"/>
          </w:tcPr>
          <w:p w14:paraId="1360F6EC">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291.80</w:t>
            </w:r>
          </w:p>
        </w:tc>
      </w:tr>
      <w:tr w14:paraId="1201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59" w:type="dxa"/>
            <w:vAlign w:val="center"/>
          </w:tcPr>
          <w:p w14:paraId="7520B8AA">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2021</w:t>
            </w:r>
          </w:p>
        </w:tc>
        <w:tc>
          <w:tcPr>
            <w:tcW w:w="2038" w:type="dxa"/>
            <w:vAlign w:val="center"/>
          </w:tcPr>
          <w:p w14:paraId="03595137">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2349.02</w:t>
            </w:r>
          </w:p>
        </w:tc>
        <w:tc>
          <w:tcPr>
            <w:tcW w:w="2084" w:type="dxa"/>
            <w:vAlign w:val="center"/>
          </w:tcPr>
          <w:p w14:paraId="148D5D69">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2054.23</w:t>
            </w:r>
          </w:p>
        </w:tc>
        <w:tc>
          <w:tcPr>
            <w:tcW w:w="2301" w:type="dxa"/>
            <w:vAlign w:val="center"/>
          </w:tcPr>
          <w:p w14:paraId="0E4541FD">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294.79</w:t>
            </w:r>
          </w:p>
        </w:tc>
      </w:tr>
      <w:tr w14:paraId="0653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859" w:type="dxa"/>
            <w:vAlign w:val="center"/>
          </w:tcPr>
          <w:p w14:paraId="56FE190C">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2022</w:t>
            </w:r>
          </w:p>
        </w:tc>
        <w:tc>
          <w:tcPr>
            <w:tcW w:w="2038" w:type="dxa"/>
            <w:vAlign w:val="center"/>
          </w:tcPr>
          <w:p w14:paraId="6D13B80D">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2267</w:t>
            </w:r>
          </w:p>
        </w:tc>
        <w:tc>
          <w:tcPr>
            <w:tcW w:w="2084" w:type="dxa"/>
            <w:vAlign w:val="center"/>
          </w:tcPr>
          <w:p w14:paraId="2888AAA2">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1992</w:t>
            </w:r>
          </w:p>
        </w:tc>
        <w:tc>
          <w:tcPr>
            <w:tcW w:w="2301" w:type="dxa"/>
            <w:vAlign w:val="center"/>
          </w:tcPr>
          <w:p w14:paraId="1E06CF83">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275</w:t>
            </w:r>
          </w:p>
        </w:tc>
      </w:tr>
      <w:tr w14:paraId="6FE3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859" w:type="dxa"/>
            <w:vAlign w:val="center"/>
          </w:tcPr>
          <w:p w14:paraId="4F3E52D6">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2023</w:t>
            </w:r>
          </w:p>
        </w:tc>
        <w:tc>
          <w:tcPr>
            <w:tcW w:w="2038" w:type="dxa"/>
            <w:vAlign w:val="center"/>
          </w:tcPr>
          <w:p w14:paraId="24FCBD27">
            <w:pPr>
              <w:spacing w:line="187"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2424</w:t>
            </w:r>
          </w:p>
        </w:tc>
        <w:tc>
          <w:tcPr>
            <w:tcW w:w="2084" w:type="dxa"/>
            <w:vAlign w:val="center"/>
          </w:tcPr>
          <w:p w14:paraId="0EF139BE">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2143</w:t>
            </w:r>
          </w:p>
        </w:tc>
        <w:tc>
          <w:tcPr>
            <w:tcW w:w="2301" w:type="dxa"/>
            <w:vAlign w:val="center"/>
          </w:tcPr>
          <w:p w14:paraId="5740E6D1">
            <w:pPr>
              <w:spacing w:line="186"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281</w:t>
            </w:r>
          </w:p>
        </w:tc>
      </w:tr>
    </w:tbl>
    <w:p w14:paraId="36D08B95">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发电量与电价稳定性</w:t>
      </w:r>
    </w:p>
    <w:p w14:paraId="3EF7D056">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发电量</w:t>
      </w:r>
      <w:r>
        <w:rPr>
          <w:rFonts w:hint="default"/>
          <w:color w:val="000000" w:themeColor="text1"/>
          <w:lang w:val="en-US" w:eastAsia="zh-CN"/>
          <w14:textFill>
            <w14:solidFill>
              <w14:schemeClr w14:val="tx1"/>
            </w14:solidFill>
          </w14:textFill>
        </w:rPr>
        <w:t>和</w:t>
      </w:r>
      <w:r>
        <w:rPr>
          <w:rFonts w:hint="eastAsia"/>
          <w:color w:val="000000" w:themeColor="text1"/>
          <w:lang w:val="en-US" w:eastAsia="zh-CN"/>
          <w14:textFill>
            <w14:solidFill>
              <w14:schemeClr w14:val="tx1"/>
            </w14:solidFill>
          </w14:textFill>
        </w:rPr>
        <w:t>电价</w:t>
      </w:r>
      <w:r>
        <w:rPr>
          <w:rFonts w:hint="default"/>
          <w:color w:val="000000" w:themeColor="text1"/>
          <w:lang w:val="en-US" w:eastAsia="zh-CN"/>
          <w14:textFill>
            <w14:solidFill>
              <w14:schemeClr w14:val="tx1"/>
            </w14:solidFill>
          </w14:textFill>
        </w:rPr>
        <w:t>变化直接影响售电收入。</w:t>
      </w:r>
      <w:r>
        <w:rPr>
          <w:rFonts w:hint="eastAsia"/>
          <w:color w:val="000000" w:themeColor="text1"/>
          <w:lang w:val="en-US" w:eastAsia="zh-CN"/>
          <w14:textFill>
            <w14:solidFill>
              <w14:schemeClr w14:val="tx1"/>
            </w14:solidFill>
          </w14:textFill>
        </w:rPr>
        <w:t>本项目在垃圾处理量稳定的前提下，发电量相对稳定，同时在测算时电价预测也较为保守（未考虑国补，考虑15年省补），因此本项目售电收益较为稳定</w:t>
      </w:r>
      <w:r>
        <w:rPr>
          <w:rFonts w:hint="default"/>
          <w:color w:val="000000" w:themeColor="text1"/>
          <w:lang w:val="en-US" w:eastAsia="zh-CN"/>
          <w14:textFill>
            <w14:solidFill>
              <w14:schemeClr w14:val="tx1"/>
            </w14:solidFill>
          </w14:textFill>
        </w:rPr>
        <w:t>。</w:t>
      </w:r>
    </w:p>
    <w:p w14:paraId="47CEAF0B">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制度稳定性</w:t>
      </w:r>
    </w:p>
    <w:p w14:paraId="185338AC">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包头市已经建立《包头市发展和改革委员会 包头市城市管理局关于包头市主城区生活垃圾处理费标准的通知》（包发改价费字</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749</w:t>
      </w:r>
      <w:r>
        <w:rPr>
          <w:rFonts w:hint="default"/>
          <w:color w:val="000000" w:themeColor="text1"/>
          <w:lang w:val="en-US" w:eastAsia="zh-CN"/>
          <w14:textFill>
            <w14:solidFill>
              <w14:schemeClr w14:val="tx1"/>
            </w14:solidFill>
          </w14:textFill>
        </w:rPr>
        <w:t>号</w:t>
      </w:r>
      <w:r>
        <w:rPr>
          <w:rFonts w:hint="eastAsia"/>
          <w:color w:val="000000" w:themeColor="text1"/>
          <w:lang w:val="en-US" w:eastAsia="zh-CN"/>
          <w14:textFill>
            <w14:solidFill>
              <w14:schemeClr w14:val="tx1"/>
            </w14:solidFill>
          </w14:textFill>
        </w:rPr>
        <w:t>）《包头市人民政府办公室</w:t>
      </w:r>
      <w:r>
        <w:rPr>
          <w:rFonts w:hint="default"/>
          <w:color w:val="000000" w:themeColor="text1"/>
          <w:lang w:val="en-US" w:eastAsia="zh-CN"/>
          <w14:textFill>
            <w14:solidFill>
              <w14:schemeClr w14:val="tx1"/>
            </w14:solidFill>
          </w14:textFill>
        </w:rPr>
        <w:t>关于印发生活垃圾处理运行补贴标准的通知</w:t>
      </w:r>
      <w:r>
        <w:rPr>
          <w:rFonts w:hint="eastAsia"/>
          <w:color w:val="000000" w:themeColor="text1"/>
          <w:lang w:val="en-US" w:eastAsia="zh-CN"/>
          <w14:textFill>
            <w14:solidFill>
              <w14:schemeClr w14:val="tx1"/>
            </w14:solidFill>
          </w14:textFill>
        </w:rPr>
        <w:t>》（包府办发</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80</w:t>
      </w:r>
      <w:r>
        <w:rPr>
          <w:rFonts w:hint="default"/>
          <w:color w:val="000000" w:themeColor="text1"/>
          <w:lang w:val="en-US" w:eastAsia="zh-CN"/>
          <w14:textFill>
            <w14:solidFill>
              <w14:schemeClr w14:val="tx1"/>
            </w14:solidFill>
          </w14:textFill>
        </w:rPr>
        <w:t>号</w:t>
      </w:r>
      <w:r>
        <w:rPr>
          <w:rFonts w:hint="eastAsia"/>
          <w:color w:val="000000" w:themeColor="text1"/>
          <w:lang w:val="en-US" w:eastAsia="zh-CN"/>
          <w14:textFill>
            <w14:solidFill>
              <w14:schemeClr w14:val="tx1"/>
            </w14:solidFill>
          </w14:textFill>
        </w:rPr>
        <w:t>）《包头市人民政府办公室</w:t>
      </w:r>
      <w:r>
        <w:rPr>
          <w:rFonts w:hint="default"/>
          <w:color w:val="000000" w:themeColor="text1"/>
          <w:lang w:val="en-US" w:eastAsia="zh-CN"/>
          <w14:textFill>
            <w14:solidFill>
              <w14:schemeClr w14:val="tx1"/>
            </w14:solidFill>
          </w14:textFill>
        </w:rPr>
        <w:t>关于印发包头市城镇生活垃圾处理费收费管理办法的通知</w:t>
      </w:r>
      <w:r>
        <w:rPr>
          <w:rFonts w:hint="eastAsia"/>
          <w:color w:val="000000" w:themeColor="text1"/>
          <w:lang w:val="en-US" w:eastAsia="zh-CN"/>
          <w14:textFill>
            <w14:solidFill>
              <w14:schemeClr w14:val="tx1"/>
            </w14:solidFill>
          </w14:textFill>
        </w:rPr>
        <w:t>》（包府办发</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〕4号</w:t>
      </w:r>
      <w:r>
        <w:rPr>
          <w:rFonts w:hint="eastAsia"/>
          <w:color w:val="000000" w:themeColor="text1"/>
          <w:lang w:val="en-US" w:eastAsia="zh-CN"/>
          <w14:textFill>
            <w14:solidFill>
              <w14:schemeClr w14:val="tx1"/>
            </w14:solidFill>
          </w14:textFill>
        </w:rPr>
        <w:t>）等配套文件，垃圾处理费收费有依据，收费渠道和方式较明确，垃圾处理运行补贴有来源，制度的持续性和稳定性有保障。</w:t>
      </w:r>
    </w:p>
    <w:p w14:paraId="1248789D">
      <w:pPr>
        <w:ind w:firstLine="560" w:firstLineChars="200"/>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综上所述，本项目垃圾产生量较稳定</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发电量、电价均较为稳定，因此售电收益较为稳定，同时随着包头市垃圾处理收费制度和补贴制度的建立，在垃圾量稳定的前提下，垃圾处理收入也较为稳定，故可以确保项目收益的长期稳定性和可持续性。政府方和项目公司后续也应密切关注市场动态和政策变化，不断优化运营策略，确保项目收益的稳定。</w:t>
      </w:r>
    </w:p>
    <w:p w14:paraId="0147E180">
      <w:pPr>
        <w:pStyle w:val="5"/>
        <w:numPr>
          <w:ilvl w:val="2"/>
          <w:numId w:val="61"/>
        </w:numPr>
        <w:rPr>
          <w:color w:val="000000" w:themeColor="text1"/>
          <w14:textFill>
            <w14:solidFill>
              <w14:schemeClr w14:val="tx1"/>
            </w14:solidFill>
          </w14:textFill>
        </w:rPr>
      </w:pPr>
      <w:bookmarkStart w:id="309" w:name="_Toc21238"/>
      <w:bookmarkStart w:id="310" w:name="_Toc3123"/>
      <w:r>
        <w:rPr>
          <w:rFonts w:hint="eastAsia"/>
          <w:color w:val="000000" w:themeColor="text1"/>
          <w14:textFill>
            <w14:solidFill>
              <w14:schemeClr w14:val="tx1"/>
            </w14:solidFill>
          </w14:textFill>
        </w:rPr>
        <w:t>项目盈利能力分析</w:t>
      </w:r>
      <w:bookmarkEnd w:id="309"/>
      <w:bookmarkEnd w:id="310"/>
    </w:p>
    <w:p w14:paraId="3DA2A366">
      <w:pPr>
        <w:pStyle w:val="6"/>
        <w:numPr>
          <w:ilvl w:val="3"/>
          <w:numId w:val="61"/>
        </w:numPr>
        <w:spacing w:before="156" w:after="156"/>
        <w:rPr>
          <w:color w:val="000000" w:themeColor="text1"/>
          <w14:textFill>
            <w14:solidFill>
              <w14:schemeClr w14:val="tx1"/>
            </w14:solidFill>
          </w14:textFill>
        </w:rPr>
      </w:pPr>
      <w:bookmarkStart w:id="311" w:name="_Toc7318"/>
      <w:r>
        <w:rPr>
          <w:rFonts w:hint="eastAsia"/>
          <w:color w:val="000000" w:themeColor="text1"/>
          <w14:textFill>
            <w14:solidFill>
              <w14:schemeClr w14:val="tx1"/>
            </w14:solidFill>
          </w14:textFill>
        </w:rPr>
        <w:t>回报机制</w:t>
      </w:r>
      <w:bookmarkEnd w:id="311"/>
    </w:p>
    <w:p w14:paraId="236346D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本项目为垃圾焚烧发电项目，特许经营者完成投融资、建设并经验收合格后运营维护垃圾焚烧发电设施，通过收取上网发电收入及垃圾处理</w:t>
      </w:r>
      <w:r>
        <w:rPr>
          <w:rFonts w:hint="eastAsia"/>
          <w:color w:val="000000" w:themeColor="text1"/>
          <w:lang w:val="en-US" w:eastAsia="zh-CN"/>
          <w14:textFill>
            <w14:solidFill>
              <w14:schemeClr w14:val="tx1"/>
            </w14:solidFill>
          </w14:textFill>
        </w:rPr>
        <w:t>运行补贴</w:t>
      </w:r>
      <w:r>
        <w:rPr>
          <w:rFonts w:hint="eastAsia"/>
          <w:color w:val="000000" w:themeColor="text1"/>
          <w14:textFill>
            <w14:solidFill>
              <w14:schemeClr w14:val="tx1"/>
            </w14:solidFill>
          </w14:textFill>
        </w:rPr>
        <w:t>来收回投资并获得合理回报。所以本项目回报机制为使用者付费。</w:t>
      </w:r>
    </w:p>
    <w:p w14:paraId="32A2642D">
      <w:pPr>
        <w:pStyle w:val="6"/>
        <w:numPr>
          <w:ilvl w:val="3"/>
          <w:numId w:val="61"/>
        </w:numPr>
        <w:spacing w:before="156" w:after="156"/>
        <w:rPr>
          <w:color w:val="000000" w:themeColor="text1"/>
          <w14:textFill>
            <w14:solidFill>
              <w14:schemeClr w14:val="tx1"/>
            </w14:solidFill>
          </w14:textFill>
        </w:rPr>
      </w:pPr>
      <w:bookmarkStart w:id="312" w:name="_Toc31783"/>
      <w:r>
        <w:rPr>
          <w:rFonts w:hint="eastAsia"/>
          <w:color w:val="000000" w:themeColor="text1"/>
          <w14:textFill>
            <w14:solidFill>
              <w14:schemeClr w14:val="tx1"/>
            </w14:solidFill>
          </w14:textFill>
        </w:rPr>
        <w:t>合作期限及总投资</w:t>
      </w:r>
      <w:bookmarkEnd w:id="312"/>
    </w:p>
    <w:p w14:paraId="1AE9EEA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拟定本项目合作期为40年，其中建设期2年，运营期38年。</w:t>
      </w:r>
    </w:p>
    <w:p w14:paraId="26CE2CF5">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本项目总投资包含红线内所有设施及红线外相关配套设施，同时本方案所指总投资仅包含一期相关费用，不包含二期费用。根据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提供的技术文件，本项目</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工程</w:t>
      </w:r>
      <w:r>
        <w:rPr>
          <w:rFonts w:hint="eastAsia"/>
          <w:color w:val="000000" w:themeColor="text1"/>
          <w:lang w:val="en-US" w:eastAsia="zh-CN"/>
          <w14:textFill>
            <w14:solidFill>
              <w14:schemeClr w14:val="tx1"/>
            </w14:solidFill>
          </w14:textFill>
        </w:rPr>
        <w:t>22669.58</w:t>
      </w:r>
      <w:r>
        <w:rPr>
          <w:rFonts w:hint="eastAsia"/>
          <w:color w:val="000000" w:themeColor="text1"/>
          <w14:textFill>
            <w14:solidFill>
              <w14:schemeClr w14:val="tx1"/>
            </w14:solidFill>
          </w14:textFill>
        </w:rPr>
        <w:t>万元，设备购置费1</w:t>
      </w:r>
      <w:r>
        <w:rPr>
          <w:rFonts w:hint="eastAsia"/>
          <w:color w:val="000000" w:themeColor="text1"/>
          <w:lang w:val="en-US" w:eastAsia="zh-CN"/>
          <w14:textFill>
            <w14:solidFill>
              <w14:schemeClr w14:val="tx1"/>
            </w14:solidFill>
          </w14:textFill>
        </w:rPr>
        <w:t>7590.50</w:t>
      </w:r>
      <w:r>
        <w:rPr>
          <w:rFonts w:hint="eastAsia"/>
          <w:color w:val="000000" w:themeColor="text1"/>
          <w14:textFill>
            <w14:solidFill>
              <w14:schemeClr w14:val="tx1"/>
            </w14:solidFill>
          </w14:textFill>
        </w:rPr>
        <w:t>万元，安装工程5</w:t>
      </w:r>
      <w:r>
        <w:rPr>
          <w:rFonts w:hint="eastAsia"/>
          <w:color w:val="000000" w:themeColor="text1"/>
          <w:lang w:val="en-US" w:eastAsia="zh-CN"/>
          <w14:textFill>
            <w14:solidFill>
              <w14:schemeClr w14:val="tx1"/>
            </w14:solidFill>
          </w14:textFill>
        </w:rPr>
        <w:t>248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1万元，工程费合计4</w:t>
      </w:r>
      <w:r>
        <w:rPr>
          <w:rFonts w:hint="eastAsia"/>
          <w:color w:val="000000" w:themeColor="text1"/>
          <w:lang w:val="en-US" w:eastAsia="zh-CN"/>
          <w14:textFill>
            <w14:solidFill>
              <w14:schemeClr w14:val="tx1"/>
            </w14:solidFill>
          </w14:textFill>
        </w:rPr>
        <w:t>5508.19</w:t>
      </w:r>
      <w:r>
        <w:rPr>
          <w:rFonts w:hint="eastAsia"/>
          <w:color w:val="000000" w:themeColor="text1"/>
          <w14:textFill>
            <w14:solidFill>
              <w14:schemeClr w14:val="tx1"/>
            </w14:solidFill>
          </w14:textFill>
        </w:rPr>
        <w:t>万元（含3000万红线外配套工程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若届时红线外配套费用超支，则超支部分由项目公司负责筹集并计入项目总投资，按项目调价原则执行</w:t>
      </w:r>
      <w:r>
        <w:rPr>
          <w:rFonts w:hint="eastAsia"/>
          <w:color w:val="000000" w:themeColor="text1"/>
          <w14:textFill>
            <w14:solidFill>
              <w14:schemeClr w14:val="tx1"/>
            </w14:solidFill>
          </w14:textFill>
        </w:rPr>
        <w:t>）；工程建设其他费用</w:t>
      </w:r>
      <w:r>
        <w:rPr>
          <w:rFonts w:hint="eastAsia"/>
          <w:color w:val="000000" w:themeColor="text1"/>
          <w:lang w:val="en-US" w:eastAsia="zh-CN"/>
          <w14:textFill>
            <w14:solidFill>
              <w14:schemeClr w14:val="tx1"/>
            </w14:solidFill>
          </w14:textFill>
        </w:rPr>
        <w:t>5547.68</w:t>
      </w:r>
      <w:r>
        <w:rPr>
          <w:rFonts w:hint="eastAsia"/>
          <w:color w:val="000000" w:themeColor="text1"/>
          <w14:textFill>
            <w14:solidFill>
              <w14:schemeClr w14:val="tx1"/>
            </w14:solidFill>
          </w14:textFill>
        </w:rPr>
        <w:t>万元，</w:t>
      </w:r>
      <w:r>
        <w:rPr>
          <w:rFonts w:hint="eastAsia"/>
          <w:color w:val="000000" w:themeColor="text1"/>
          <w:lang w:val="en-US" w:eastAsia="zh-CN"/>
          <w14:textFill>
            <w14:solidFill>
              <w14:schemeClr w14:val="tx1"/>
            </w14:solidFill>
          </w14:textFill>
        </w:rPr>
        <w:t>工程</w:t>
      </w:r>
      <w:r>
        <w:rPr>
          <w:rFonts w:hint="eastAsia"/>
          <w:color w:val="000000" w:themeColor="text1"/>
          <w14:textFill>
            <w14:solidFill>
              <w14:schemeClr w14:val="tx1"/>
            </w14:solidFill>
          </w14:textFill>
        </w:rPr>
        <w:t>预备费</w:t>
      </w:r>
      <w:r>
        <w:rPr>
          <w:rFonts w:hint="eastAsia"/>
          <w:color w:val="000000" w:themeColor="text1"/>
          <w:lang w:val="en-US" w:eastAsia="zh-CN"/>
          <w14:textFill>
            <w14:solidFill>
              <w14:schemeClr w14:val="tx1"/>
            </w14:solidFill>
          </w14:textFill>
        </w:rPr>
        <w:t>2489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万元，工程静态投资</w:t>
      </w:r>
      <w:r>
        <w:rPr>
          <w:rFonts w:hint="eastAsia"/>
          <w:color w:val="000000" w:themeColor="text1"/>
          <w:lang w:val="en-US" w:eastAsia="zh-CN"/>
          <w14:textFill>
            <w14:solidFill>
              <w14:schemeClr w14:val="tx1"/>
            </w14:solidFill>
          </w14:textFill>
        </w:rPr>
        <w:t>53545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47</w:t>
      </w:r>
      <w:r>
        <w:rPr>
          <w:rFonts w:hint="eastAsia"/>
          <w:color w:val="000000" w:themeColor="text1"/>
          <w14:textFill>
            <w14:solidFill>
              <w14:schemeClr w14:val="tx1"/>
            </w14:solidFill>
          </w14:textFill>
        </w:rPr>
        <w:t>万元；铺底流动资金2</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4万元，</w:t>
      </w:r>
      <w:r>
        <w:rPr>
          <w:rFonts w:hint="eastAsia"/>
          <w:color w:val="000000" w:themeColor="text1"/>
          <w:lang w:val="en-US" w:eastAsia="zh-CN"/>
          <w14:textFill>
            <w14:solidFill>
              <w14:schemeClr w14:val="tx1"/>
            </w14:solidFill>
          </w14:textFill>
        </w:rPr>
        <w:t>重新计算</w:t>
      </w:r>
      <w:r>
        <w:rPr>
          <w:rFonts w:hint="eastAsia"/>
          <w:color w:val="000000" w:themeColor="text1"/>
          <w14:textFill>
            <w14:solidFill>
              <w14:schemeClr w14:val="tx1"/>
            </w14:solidFill>
          </w14:textFill>
        </w:rPr>
        <w:t>建设期利息14</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88</w:t>
      </w:r>
      <w:r>
        <w:rPr>
          <w:rFonts w:hint="eastAsia"/>
          <w:color w:val="000000" w:themeColor="text1"/>
          <w14:textFill>
            <w14:solidFill>
              <w14:schemeClr w14:val="tx1"/>
            </w14:solidFill>
          </w14:textFill>
        </w:rPr>
        <w:t>万元，项目总投资</w:t>
      </w:r>
      <w:r>
        <w:rPr>
          <w:rFonts w:hint="eastAsia"/>
          <w:color w:val="000000" w:themeColor="text1"/>
          <w:lang w:val="en-US" w:eastAsia="zh-CN"/>
          <w14:textFill>
            <w14:solidFill>
              <w14:schemeClr w14:val="tx1"/>
            </w14:solidFill>
          </w14:textFill>
        </w:rPr>
        <w:t>55209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79</w:t>
      </w:r>
      <w:r>
        <w:rPr>
          <w:rFonts w:hint="eastAsia"/>
          <w:color w:val="000000" w:themeColor="text1"/>
          <w14:textFill>
            <w14:solidFill>
              <w14:schemeClr w14:val="tx1"/>
            </w14:solidFill>
          </w14:textFill>
        </w:rPr>
        <w:t>万元。项目总投资以项目可研、初步设计概算及施工图预算进行动态调整。</w:t>
      </w:r>
    </w:p>
    <w:p w14:paraId="09C214F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本项目初步设定资本金比例为项目动态总投资的20%，其他资金由项目公司通过向金融机构贷款的方式解决。</w:t>
      </w:r>
    </w:p>
    <w:p w14:paraId="75AAAF3A">
      <w:pPr>
        <w:pStyle w:val="6"/>
        <w:numPr>
          <w:ilvl w:val="3"/>
          <w:numId w:val="61"/>
        </w:numPr>
        <w:spacing w:before="156" w:after="156"/>
        <w:rPr>
          <w:color w:val="000000" w:themeColor="text1"/>
          <w14:textFill>
            <w14:solidFill>
              <w14:schemeClr w14:val="tx1"/>
            </w14:solidFill>
          </w14:textFill>
        </w:rPr>
      </w:pPr>
      <w:bookmarkStart w:id="313" w:name="_Toc31672"/>
      <w:r>
        <w:rPr>
          <w:rFonts w:hint="eastAsia"/>
          <w:color w:val="000000" w:themeColor="text1"/>
          <w14:textFill>
            <w14:solidFill>
              <w14:schemeClr w14:val="tx1"/>
            </w14:solidFill>
          </w14:textFill>
        </w:rPr>
        <w:t>项目经营成本</w:t>
      </w:r>
      <w:bookmarkEnd w:id="313"/>
    </w:p>
    <w:p w14:paraId="3011351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提供的技术文件，本项目成本主要包括外购辅料、燃料及动力、其他处理费用、环境监测及调查分析费、职工薪酬、修理维护费、其他管理费用，具体情况如下（以下成本均为含税价）：</w:t>
      </w:r>
    </w:p>
    <w:p w14:paraId="1F2D7D5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外购辅料</w:t>
      </w:r>
    </w:p>
    <w:p w14:paraId="2F2EDE08">
      <w:pPr>
        <w:ind w:firstLine="560" w:firstLineChars="200"/>
        <w:rPr>
          <w:rFonts w:hint="eastAsia"/>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外购辅料费主要包括氢氧化钙、活性炭、氨水、活性碳、磷酸三钠、30%液碱、30%盐酸、螯合剂、滤袋、吨袋</w:t>
      </w:r>
      <w:r>
        <w:rPr>
          <w:color w:val="000000" w:themeColor="text1"/>
          <w:szCs w:val="28"/>
          <w14:textFill>
            <w14:solidFill>
              <w14:schemeClr w14:val="tx1"/>
            </w14:solidFill>
          </w14:textFill>
        </w:rPr>
        <w:t>等的费用</w:t>
      </w:r>
      <w:r>
        <w:rPr>
          <w:rFonts w:hint="eastAsia"/>
          <w:color w:val="000000" w:themeColor="text1"/>
          <w:szCs w:val="28"/>
          <w14:textFill>
            <w14:solidFill>
              <w14:schemeClr w14:val="tx1"/>
            </w14:solidFill>
          </w14:textFill>
        </w:rPr>
        <w:t>，税率按照13%计，则总成本</w:t>
      </w:r>
      <w:r>
        <w:rPr>
          <w:rFonts w:hint="eastAsia"/>
          <w:color w:val="000000" w:themeColor="text1"/>
          <w:szCs w:val="28"/>
          <w:lang w:val="en-US" w:eastAsia="zh-CN"/>
          <w14:textFill>
            <w14:solidFill>
              <w14:schemeClr w14:val="tx1"/>
            </w14:solidFill>
          </w14:textFill>
        </w:rPr>
        <w:t>786.12</w:t>
      </w:r>
      <w:r>
        <w:rPr>
          <w:rFonts w:hint="eastAsia"/>
          <w:color w:val="000000" w:themeColor="text1"/>
          <w:szCs w:val="28"/>
          <w14:textFill>
            <w14:solidFill>
              <w14:schemeClr w14:val="tx1"/>
            </w14:solidFill>
          </w14:textFill>
        </w:rPr>
        <w:t>万元/年，折合</w:t>
      </w:r>
      <w:r>
        <w:rPr>
          <w:rFonts w:hint="eastAsia"/>
          <w:color w:val="000000" w:themeColor="text1"/>
          <w:szCs w:val="28"/>
          <w:lang w:val="en-US" w:eastAsia="zh-CN"/>
          <w14:textFill>
            <w14:solidFill>
              <w14:schemeClr w14:val="tx1"/>
            </w14:solidFill>
          </w14:textFill>
        </w:rPr>
        <w:t>26.92</w:t>
      </w:r>
      <w:r>
        <w:rPr>
          <w:rFonts w:hint="eastAsia"/>
          <w:color w:val="000000" w:themeColor="text1"/>
          <w:szCs w:val="28"/>
          <w14:textFill>
            <w14:solidFill>
              <w14:schemeClr w14:val="tx1"/>
            </w14:solidFill>
          </w14:textFill>
        </w:rPr>
        <w:t>元/吨。具体明细如下：</w:t>
      </w:r>
    </w:p>
    <w:p w14:paraId="5FB74E03">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外购辅料明细表</w:t>
      </w:r>
    </w:p>
    <w:tbl>
      <w:tblPr>
        <w:tblStyle w:val="52"/>
        <w:tblW w:w="768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2"/>
        <w:gridCol w:w="2700"/>
        <w:gridCol w:w="3581"/>
      </w:tblGrid>
      <w:tr w14:paraId="0BE53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Merge w:val="restart"/>
            <w:tcBorders>
              <w:bottom w:val="nil"/>
            </w:tcBorders>
            <w:shd w:val="clear" w:color="auto" w:fill="BDD6EE" w:themeFill="accent1" w:themeFillTint="66"/>
            <w:vAlign w:val="center"/>
          </w:tcPr>
          <w:p w14:paraId="3408A7C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2700" w:type="dxa"/>
            <w:vMerge w:val="restart"/>
            <w:tcBorders>
              <w:bottom w:val="nil"/>
            </w:tcBorders>
            <w:shd w:val="clear" w:color="auto" w:fill="BDD6EE" w:themeFill="accent1" w:themeFillTint="66"/>
            <w:vAlign w:val="center"/>
          </w:tcPr>
          <w:p w14:paraId="4B1A6DF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项目</w:t>
            </w:r>
          </w:p>
        </w:tc>
        <w:tc>
          <w:tcPr>
            <w:tcW w:w="3581" w:type="dxa"/>
            <w:vMerge w:val="restart"/>
            <w:tcBorders>
              <w:bottom w:val="nil"/>
            </w:tcBorders>
            <w:shd w:val="clear" w:color="auto" w:fill="BDD6EE" w:themeFill="accent1" w:themeFillTint="66"/>
            <w:vAlign w:val="center"/>
          </w:tcPr>
          <w:p w14:paraId="4FF883C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费用</w:t>
            </w:r>
          </w:p>
        </w:tc>
      </w:tr>
      <w:tr w14:paraId="755F2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402" w:type="dxa"/>
            <w:vMerge w:val="continue"/>
            <w:tcBorders>
              <w:top w:val="nil"/>
            </w:tcBorders>
            <w:shd w:val="clear" w:color="auto" w:fill="BDD6EE" w:themeFill="accent1" w:themeFillTint="66"/>
            <w:vAlign w:val="center"/>
          </w:tcPr>
          <w:p w14:paraId="72FE41C1">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Merge w:val="continue"/>
            <w:tcBorders>
              <w:top w:val="nil"/>
            </w:tcBorders>
            <w:shd w:val="clear" w:color="auto" w:fill="BDD6EE" w:themeFill="accent1" w:themeFillTint="66"/>
            <w:vAlign w:val="center"/>
          </w:tcPr>
          <w:p w14:paraId="1F2D8B7E">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3581" w:type="dxa"/>
            <w:vMerge w:val="continue"/>
            <w:tcBorders>
              <w:top w:val="nil"/>
            </w:tcBorders>
            <w:shd w:val="clear" w:color="auto" w:fill="BDD6EE" w:themeFill="accent1" w:themeFillTint="66"/>
            <w:vAlign w:val="center"/>
          </w:tcPr>
          <w:p w14:paraId="314D1659">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798C6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5EC0481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700" w:type="dxa"/>
            <w:vAlign w:val="center"/>
          </w:tcPr>
          <w:p w14:paraId="1199669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外购原材料费</w:t>
            </w:r>
          </w:p>
        </w:tc>
        <w:tc>
          <w:tcPr>
            <w:tcW w:w="3581" w:type="dxa"/>
            <w:vAlign w:val="center"/>
          </w:tcPr>
          <w:p w14:paraId="4502052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855.5</w:t>
            </w:r>
          </w:p>
        </w:tc>
      </w:tr>
      <w:tr w14:paraId="17332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1B9F570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1.1</w:t>
            </w:r>
          </w:p>
        </w:tc>
        <w:tc>
          <w:tcPr>
            <w:tcW w:w="2700" w:type="dxa"/>
            <w:vAlign w:val="center"/>
          </w:tcPr>
          <w:p w14:paraId="4ADA580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氢氧化钙</w:t>
            </w:r>
          </w:p>
        </w:tc>
        <w:tc>
          <w:tcPr>
            <w:tcW w:w="3581" w:type="dxa"/>
            <w:vAlign w:val="center"/>
          </w:tcPr>
          <w:p w14:paraId="356FA5AA">
            <w:pPr>
              <w:spacing w:line="240"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388.72</w:t>
            </w:r>
          </w:p>
        </w:tc>
      </w:tr>
      <w:tr w14:paraId="6F74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20BF629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935FA0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56C5706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w:t>
            </w:r>
            <w:r>
              <w:rPr>
                <w:rFonts w:hint="eastAsia" w:ascii="仿宋" w:hAnsi="仿宋" w:cs="仿宋"/>
                <w:color w:val="000000" w:themeColor="text1"/>
                <w:spacing w:val="-2"/>
                <w:sz w:val="24"/>
                <w:szCs w:val="24"/>
                <w:lang w:val="en-US" w:eastAsia="zh-CN"/>
                <w14:textFill>
                  <w14:solidFill>
                    <w14:schemeClr w14:val="tx1"/>
                  </w14:solidFill>
                </w14:textFill>
              </w:rPr>
              <w:t>00</w:t>
            </w:r>
            <w:r>
              <w:rPr>
                <w:rFonts w:hint="eastAsia" w:ascii="仿宋" w:hAnsi="仿宋" w:cs="仿宋"/>
                <w:color w:val="000000" w:themeColor="text1"/>
                <w:spacing w:val="-2"/>
                <w:sz w:val="24"/>
                <w:szCs w:val="24"/>
                <w14:textFill>
                  <w14:solidFill>
                    <w14:schemeClr w14:val="tx1"/>
                  </w14:solidFill>
                </w14:textFill>
              </w:rPr>
              <w:t>0.0</w:t>
            </w:r>
          </w:p>
        </w:tc>
      </w:tr>
      <w:tr w14:paraId="528D5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4FD2AE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2F6352A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1066CB2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3887.0</w:t>
            </w:r>
          </w:p>
        </w:tc>
      </w:tr>
      <w:tr w14:paraId="26253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33CBF4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1C82B88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5DEE9DB6">
            <w:pPr>
              <w:spacing w:line="240"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pacing w:val="-1"/>
                <w:sz w:val="24"/>
                <w:szCs w:val="24"/>
                <w:lang w:val="en-US" w:eastAsia="zh-CN"/>
                <w14:textFill>
                  <w14:solidFill>
                    <w14:schemeClr w14:val="tx1"/>
                  </w14:solidFill>
                </w14:textFill>
              </w:rPr>
              <w:t>44.68</w:t>
            </w:r>
          </w:p>
        </w:tc>
      </w:tr>
      <w:tr w14:paraId="5EEB0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7D44924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1.2</w:t>
            </w:r>
          </w:p>
        </w:tc>
        <w:tc>
          <w:tcPr>
            <w:tcW w:w="2700" w:type="dxa"/>
            <w:vAlign w:val="center"/>
          </w:tcPr>
          <w:p w14:paraId="4AACCA8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活性炭</w:t>
            </w:r>
          </w:p>
        </w:tc>
        <w:tc>
          <w:tcPr>
            <w:tcW w:w="3581" w:type="dxa"/>
            <w:vAlign w:val="center"/>
          </w:tcPr>
          <w:p w14:paraId="61E3100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77.7</w:t>
            </w:r>
          </w:p>
        </w:tc>
      </w:tr>
      <w:tr w14:paraId="0B6C3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93C36D5">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16107C7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1183E17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5800.0</w:t>
            </w:r>
          </w:p>
        </w:tc>
      </w:tr>
      <w:tr w14:paraId="5673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50A0800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85C5AC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4A13035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134.0</w:t>
            </w:r>
          </w:p>
        </w:tc>
      </w:tr>
      <w:tr w14:paraId="03624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1B893C1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AD2EC8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08C8333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8.9</w:t>
            </w:r>
          </w:p>
        </w:tc>
      </w:tr>
      <w:tr w14:paraId="52752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DA1FE3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1.3</w:t>
            </w:r>
          </w:p>
        </w:tc>
        <w:tc>
          <w:tcPr>
            <w:tcW w:w="2700" w:type="dxa"/>
            <w:vAlign w:val="center"/>
          </w:tcPr>
          <w:p w14:paraId="7AA31F4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氨水</w:t>
            </w:r>
          </w:p>
        </w:tc>
        <w:tc>
          <w:tcPr>
            <w:tcW w:w="3581" w:type="dxa"/>
            <w:vAlign w:val="center"/>
          </w:tcPr>
          <w:p w14:paraId="5EF4051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89.4</w:t>
            </w:r>
          </w:p>
        </w:tc>
      </w:tr>
      <w:tr w14:paraId="5A56D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2B55601">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1B151F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7AA3007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1250.0</w:t>
            </w:r>
          </w:p>
        </w:tc>
      </w:tr>
      <w:tr w14:paraId="06156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51113230">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1BBF2C8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101B659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715.0</w:t>
            </w:r>
          </w:p>
        </w:tc>
      </w:tr>
      <w:tr w14:paraId="3E35D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E2D1642">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22BBF07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1F05D7D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10.3</w:t>
            </w:r>
          </w:p>
        </w:tc>
      </w:tr>
      <w:tr w14:paraId="471F6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32F3410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1.4</w:t>
            </w:r>
          </w:p>
        </w:tc>
        <w:tc>
          <w:tcPr>
            <w:tcW w:w="2700" w:type="dxa"/>
            <w:vAlign w:val="center"/>
          </w:tcPr>
          <w:p w14:paraId="3911C82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磷酸三钠</w:t>
            </w:r>
          </w:p>
        </w:tc>
        <w:tc>
          <w:tcPr>
            <w:tcW w:w="3581" w:type="dxa"/>
            <w:vAlign w:val="center"/>
          </w:tcPr>
          <w:p w14:paraId="7A37BB7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3.0</w:t>
            </w:r>
          </w:p>
        </w:tc>
      </w:tr>
      <w:tr w14:paraId="2E545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A0171F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447D605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18E5435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1500.0</w:t>
            </w:r>
          </w:p>
        </w:tc>
      </w:tr>
      <w:tr w14:paraId="54087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753CDA58">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A91621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766D23E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20.0</w:t>
            </w:r>
          </w:p>
        </w:tc>
      </w:tr>
      <w:tr w14:paraId="30F5C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33B0A30">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B02B16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615C675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0.35</w:t>
            </w:r>
          </w:p>
        </w:tc>
      </w:tr>
      <w:tr w14:paraId="5DD8C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5F873102">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1.5</w:t>
            </w:r>
          </w:p>
        </w:tc>
        <w:tc>
          <w:tcPr>
            <w:tcW w:w="2700" w:type="dxa"/>
            <w:vAlign w:val="center"/>
          </w:tcPr>
          <w:p w14:paraId="607005D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30%液碱</w:t>
            </w:r>
          </w:p>
        </w:tc>
        <w:tc>
          <w:tcPr>
            <w:tcW w:w="3581" w:type="dxa"/>
            <w:vAlign w:val="center"/>
          </w:tcPr>
          <w:p w14:paraId="449D33C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0.1</w:t>
            </w:r>
          </w:p>
        </w:tc>
      </w:tr>
      <w:tr w14:paraId="72C3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5FE5B6E8">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0AA6C51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3AE4B36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2000.0</w:t>
            </w:r>
          </w:p>
        </w:tc>
      </w:tr>
      <w:tr w14:paraId="50C9A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5BB9B889">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EE95148">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57E03E7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0.5</w:t>
            </w:r>
          </w:p>
        </w:tc>
      </w:tr>
      <w:tr w14:paraId="48534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389FB76">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F80C77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4A70114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0.01</w:t>
            </w:r>
          </w:p>
        </w:tc>
      </w:tr>
      <w:tr w14:paraId="18B6A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3DFF04B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1.6</w:t>
            </w:r>
          </w:p>
        </w:tc>
        <w:tc>
          <w:tcPr>
            <w:tcW w:w="2700" w:type="dxa"/>
            <w:vAlign w:val="center"/>
          </w:tcPr>
          <w:p w14:paraId="7B64C7F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30%盐酸</w:t>
            </w:r>
          </w:p>
        </w:tc>
        <w:tc>
          <w:tcPr>
            <w:tcW w:w="3581" w:type="dxa"/>
            <w:vAlign w:val="center"/>
          </w:tcPr>
          <w:p w14:paraId="6457D5E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2.4</w:t>
            </w:r>
          </w:p>
        </w:tc>
      </w:tr>
      <w:tr w14:paraId="35667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328BF41B">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E2086C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00E03BE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1600.0</w:t>
            </w:r>
          </w:p>
        </w:tc>
      </w:tr>
      <w:tr w14:paraId="1B161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36D7B42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0C268CA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3DEF297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15.0</w:t>
            </w:r>
          </w:p>
        </w:tc>
      </w:tr>
      <w:tr w14:paraId="5CFBF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3A5DF5F8">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41B200F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64DBBD5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0.28</w:t>
            </w:r>
          </w:p>
        </w:tc>
      </w:tr>
      <w:tr w14:paraId="4316E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48B27185">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1.7</w:t>
            </w:r>
          </w:p>
        </w:tc>
        <w:tc>
          <w:tcPr>
            <w:tcW w:w="2700" w:type="dxa"/>
            <w:vAlign w:val="center"/>
          </w:tcPr>
          <w:p w14:paraId="00B9E84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螯合剂</w:t>
            </w:r>
          </w:p>
        </w:tc>
        <w:tc>
          <w:tcPr>
            <w:tcW w:w="3581" w:type="dxa"/>
            <w:vAlign w:val="center"/>
          </w:tcPr>
          <w:p w14:paraId="7710303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153.6</w:t>
            </w:r>
          </w:p>
        </w:tc>
      </w:tr>
      <w:tr w14:paraId="6E84F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615194A0">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11BF9F8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7F580356">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6400.0</w:t>
            </w:r>
          </w:p>
        </w:tc>
      </w:tr>
      <w:tr w14:paraId="5E66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7F54D00D">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3BE786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6D1F21F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240.0</w:t>
            </w:r>
          </w:p>
        </w:tc>
      </w:tr>
      <w:tr w14:paraId="27E9B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15135FAE">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234A5F7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773E30F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17.7</w:t>
            </w:r>
          </w:p>
        </w:tc>
      </w:tr>
      <w:tr w14:paraId="6AF9A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4C01570B">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1.8</w:t>
            </w:r>
          </w:p>
        </w:tc>
        <w:tc>
          <w:tcPr>
            <w:tcW w:w="2700" w:type="dxa"/>
            <w:vAlign w:val="center"/>
          </w:tcPr>
          <w:p w14:paraId="6A7517C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滤袋</w:t>
            </w:r>
          </w:p>
        </w:tc>
        <w:tc>
          <w:tcPr>
            <w:tcW w:w="3581" w:type="dxa"/>
            <w:vAlign w:val="center"/>
          </w:tcPr>
          <w:p w14:paraId="291D7AB8">
            <w:pPr>
              <w:spacing w:line="240"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22.24</w:t>
            </w:r>
          </w:p>
        </w:tc>
      </w:tr>
      <w:tr w14:paraId="68322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06971978">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DB8D35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单价（元/条）</w:t>
            </w:r>
          </w:p>
        </w:tc>
        <w:tc>
          <w:tcPr>
            <w:tcW w:w="3581" w:type="dxa"/>
            <w:vAlign w:val="center"/>
          </w:tcPr>
          <w:p w14:paraId="66911DD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870</w:t>
            </w:r>
            <w:r>
              <w:rPr>
                <w:rFonts w:hint="eastAsia" w:ascii="仿宋" w:hAnsi="仿宋" w:cs="仿宋"/>
                <w:color w:val="000000" w:themeColor="text1"/>
                <w:sz w:val="24"/>
                <w:szCs w:val="24"/>
                <w14:textFill>
                  <w14:solidFill>
                    <w14:schemeClr w14:val="tx1"/>
                  </w14:solidFill>
                </w14:textFill>
              </w:rPr>
              <w:t>.0</w:t>
            </w:r>
          </w:p>
        </w:tc>
      </w:tr>
      <w:tr w14:paraId="5951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67A2C90E">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B08127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数量（条）</w:t>
            </w:r>
          </w:p>
        </w:tc>
        <w:tc>
          <w:tcPr>
            <w:tcW w:w="3581" w:type="dxa"/>
            <w:vAlign w:val="center"/>
          </w:tcPr>
          <w:p w14:paraId="2FB8A2F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473</w:t>
            </w:r>
          </w:p>
        </w:tc>
      </w:tr>
      <w:tr w14:paraId="75DD8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2AE42303">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0D1FE2D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1B4D0C4C">
            <w:pPr>
              <w:spacing w:line="240"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pacing w:val="-4"/>
                <w:sz w:val="24"/>
                <w:szCs w:val="24"/>
                <w:lang w:val="en-US" w:eastAsia="zh-CN"/>
                <w14:textFill>
                  <w14:solidFill>
                    <w14:schemeClr w14:val="tx1"/>
                  </w14:solidFill>
                </w14:textFill>
              </w:rPr>
              <w:t>4.96</w:t>
            </w:r>
          </w:p>
        </w:tc>
      </w:tr>
      <w:tr w14:paraId="0483D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4E46C5A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1.9</w:t>
            </w:r>
          </w:p>
        </w:tc>
        <w:tc>
          <w:tcPr>
            <w:tcW w:w="2700" w:type="dxa"/>
            <w:vAlign w:val="center"/>
          </w:tcPr>
          <w:p w14:paraId="0C186D0F">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吨袋</w:t>
            </w:r>
          </w:p>
        </w:tc>
        <w:tc>
          <w:tcPr>
            <w:tcW w:w="3581" w:type="dxa"/>
            <w:vAlign w:val="center"/>
          </w:tcPr>
          <w:p w14:paraId="201C9B7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29.5</w:t>
            </w:r>
          </w:p>
        </w:tc>
      </w:tr>
      <w:tr w14:paraId="6151A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514F0253">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5F18F93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单价（元/条）</w:t>
            </w:r>
          </w:p>
        </w:tc>
        <w:tc>
          <w:tcPr>
            <w:tcW w:w="3581" w:type="dxa"/>
            <w:vAlign w:val="center"/>
          </w:tcPr>
          <w:p w14:paraId="5C1D0B9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30.0</w:t>
            </w:r>
          </w:p>
        </w:tc>
      </w:tr>
      <w:tr w14:paraId="07CCB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1435A25E">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8A29DE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数量（条）</w:t>
            </w:r>
          </w:p>
        </w:tc>
        <w:tc>
          <w:tcPr>
            <w:tcW w:w="3581" w:type="dxa"/>
            <w:vAlign w:val="center"/>
          </w:tcPr>
          <w:p w14:paraId="41918CA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9840</w:t>
            </w:r>
          </w:p>
        </w:tc>
      </w:tr>
      <w:tr w14:paraId="009DF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Align w:val="center"/>
          </w:tcPr>
          <w:p w14:paraId="53679E50">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49315447">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047B133E">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3.4</w:t>
            </w:r>
          </w:p>
        </w:tc>
      </w:tr>
    </w:tbl>
    <w:p w14:paraId="471EA360">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燃料及动力</w:t>
      </w:r>
    </w:p>
    <w:p w14:paraId="7D6E7369">
      <w:pPr>
        <w:ind w:firstLine="560" w:firstLineChars="200"/>
        <w:rPr>
          <w:rFonts w:hint="eastAsia"/>
          <w:color w:val="000000" w:themeColor="text1"/>
          <w:szCs w:val="28"/>
          <w14:textFill>
            <w14:solidFill>
              <w14:schemeClr w14:val="tx1"/>
            </w14:solidFill>
          </w14:textFill>
        </w:rPr>
      </w:pPr>
      <w:r>
        <w:rPr>
          <w:rFonts w:hint="eastAsia"/>
          <w:color w:val="000000" w:themeColor="text1"/>
          <w14:textFill>
            <w14:solidFill>
              <w14:schemeClr w14:val="tx1"/>
            </w14:solidFill>
          </w14:textFill>
        </w:rPr>
        <w:t>燃料及动力</w:t>
      </w:r>
      <w:r>
        <w:rPr>
          <w:rFonts w:hint="eastAsia"/>
          <w:color w:val="000000" w:themeColor="text1"/>
          <w:szCs w:val="28"/>
          <w14:textFill>
            <w14:solidFill>
              <w14:schemeClr w14:val="tx1"/>
            </w14:solidFill>
          </w14:textFill>
        </w:rPr>
        <w:t>主要</w:t>
      </w:r>
      <w:r>
        <w:rPr>
          <w:color w:val="000000" w:themeColor="text1"/>
          <w:szCs w:val="28"/>
          <w14:textFill>
            <w14:solidFill>
              <w14:schemeClr w14:val="tx1"/>
            </w14:solidFill>
          </w14:textFill>
        </w:rPr>
        <w:t>包括</w:t>
      </w:r>
      <w:r>
        <w:rPr>
          <w:rFonts w:hint="eastAsia"/>
          <w:color w:val="000000" w:themeColor="text1"/>
          <w14:textFill>
            <w14:solidFill>
              <w14:schemeClr w14:val="tx1"/>
            </w14:solidFill>
          </w14:textFill>
        </w:rPr>
        <w:t>柴油和动力费，柴油</w:t>
      </w:r>
      <w:r>
        <w:rPr>
          <w:rFonts w:hint="eastAsia"/>
          <w:color w:val="000000" w:themeColor="text1"/>
          <w:szCs w:val="28"/>
          <w14:textFill>
            <w14:solidFill>
              <w14:schemeClr w14:val="tx1"/>
            </w14:solidFill>
          </w14:textFill>
        </w:rPr>
        <w:t>税率按照13%计，动力费税率按9%计，则总成本201.72万元/年，折合6.91元/吨。</w:t>
      </w:r>
    </w:p>
    <w:p w14:paraId="6F78720B">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燃料动力明细表</w:t>
      </w:r>
    </w:p>
    <w:tbl>
      <w:tblPr>
        <w:tblStyle w:val="52"/>
        <w:tblW w:w="768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2"/>
        <w:gridCol w:w="2700"/>
        <w:gridCol w:w="3581"/>
      </w:tblGrid>
      <w:tr w14:paraId="3ECE6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Merge w:val="restart"/>
            <w:tcBorders>
              <w:bottom w:val="nil"/>
            </w:tcBorders>
            <w:shd w:val="clear" w:color="auto" w:fill="BDD6EE" w:themeFill="accent1" w:themeFillTint="66"/>
            <w:vAlign w:val="center"/>
          </w:tcPr>
          <w:p w14:paraId="114E912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2700" w:type="dxa"/>
            <w:vMerge w:val="restart"/>
            <w:tcBorders>
              <w:bottom w:val="nil"/>
            </w:tcBorders>
            <w:shd w:val="clear" w:color="auto" w:fill="BDD6EE" w:themeFill="accent1" w:themeFillTint="66"/>
            <w:vAlign w:val="center"/>
          </w:tcPr>
          <w:p w14:paraId="0E22A749">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项目</w:t>
            </w:r>
          </w:p>
        </w:tc>
        <w:tc>
          <w:tcPr>
            <w:tcW w:w="3581" w:type="dxa"/>
            <w:vMerge w:val="restart"/>
            <w:tcBorders>
              <w:bottom w:val="nil"/>
            </w:tcBorders>
            <w:shd w:val="clear" w:color="auto" w:fill="BDD6EE" w:themeFill="accent1" w:themeFillTint="66"/>
            <w:vAlign w:val="center"/>
          </w:tcPr>
          <w:p w14:paraId="62785E81">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费用</w:t>
            </w:r>
          </w:p>
        </w:tc>
      </w:tr>
      <w:tr w14:paraId="5BC27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402" w:type="dxa"/>
            <w:vMerge w:val="continue"/>
            <w:tcBorders>
              <w:top w:val="nil"/>
            </w:tcBorders>
            <w:shd w:val="clear" w:color="auto" w:fill="BDD6EE" w:themeFill="accent1" w:themeFillTint="66"/>
            <w:vAlign w:val="center"/>
          </w:tcPr>
          <w:p w14:paraId="0ECD7576">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Merge w:val="continue"/>
            <w:tcBorders>
              <w:top w:val="nil"/>
            </w:tcBorders>
            <w:shd w:val="clear" w:color="auto" w:fill="BDD6EE" w:themeFill="accent1" w:themeFillTint="66"/>
            <w:vAlign w:val="center"/>
          </w:tcPr>
          <w:p w14:paraId="7B1FD88D">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3581" w:type="dxa"/>
            <w:vMerge w:val="continue"/>
            <w:tcBorders>
              <w:top w:val="nil"/>
            </w:tcBorders>
            <w:shd w:val="clear" w:color="auto" w:fill="BDD6EE" w:themeFill="accent1" w:themeFillTint="66"/>
            <w:vAlign w:val="center"/>
          </w:tcPr>
          <w:p w14:paraId="0FC38B4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28F55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4E0A0EDD">
            <w:pPr>
              <w:spacing w:before="100" w:line="189" w:lineRule="auto"/>
              <w:ind w:left="20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700" w:type="dxa"/>
            <w:vAlign w:val="center"/>
          </w:tcPr>
          <w:p w14:paraId="72E9002F">
            <w:pPr>
              <w:spacing w:before="85" w:line="223"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燃料费（不含税）</w:t>
            </w:r>
          </w:p>
        </w:tc>
        <w:tc>
          <w:tcPr>
            <w:tcW w:w="3581" w:type="dxa"/>
            <w:vAlign w:val="center"/>
          </w:tcPr>
          <w:p w14:paraId="6FB90B59">
            <w:pPr>
              <w:spacing w:before="100" w:line="189" w:lineRule="auto"/>
              <w:ind w:left="148"/>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122.12</w:t>
            </w:r>
          </w:p>
        </w:tc>
      </w:tr>
      <w:tr w14:paraId="2CE81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6B13C95">
            <w:pPr>
              <w:spacing w:before="100" w:line="189" w:lineRule="auto"/>
              <w:ind w:left="14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1.1</w:t>
            </w:r>
          </w:p>
        </w:tc>
        <w:tc>
          <w:tcPr>
            <w:tcW w:w="2700" w:type="dxa"/>
            <w:vAlign w:val="center"/>
          </w:tcPr>
          <w:p w14:paraId="386E1C10">
            <w:pPr>
              <w:spacing w:before="85" w:line="224" w:lineRule="auto"/>
              <w:ind w:left="2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柴油</w:t>
            </w:r>
          </w:p>
        </w:tc>
        <w:tc>
          <w:tcPr>
            <w:tcW w:w="3581" w:type="dxa"/>
            <w:vAlign w:val="center"/>
          </w:tcPr>
          <w:p w14:paraId="733755EB">
            <w:pPr>
              <w:spacing w:before="100" w:line="189" w:lineRule="auto"/>
              <w:ind w:left="148"/>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138.00</w:t>
            </w:r>
          </w:p>
        </w:tc>
      </w:tr>
      <w:tr w14:paraId="49637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5FA769B3">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348EF310">
            <w:pPr>
              <w:spacing w:before="76" w:line="236"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6B0F6A07">
            <w:pPr>
              <w:spacing w:before="101" w:line="189" w:lineRule="auto"/>
              <w:ind w:left="18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6900</w:t>
            </w:r>
          </w:p>
        </w:tc>
      </w:tr>
      <w:tr w14:paraId="45886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07F58EC4">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272A767">
            <w:pPr>
              <w:spacing w:before="87" w:line="223"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数量（吨）</w:t>
            </w:r>
          </w:p>
        </w:tc>
        <w:tc>
          <w:tcPr>
            <w:tcW w:w="3581" w:type="dxa"/>
            <w:vAlign w:val="center"/>
          </w:tcPr>
          <w:p w14:paraId="338D0F15">
            <w:pPr>
              <w:spacing w:before="102" w:line="189" w:lineRule="auto"/>
              <w:ind w:left="13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200.00</w:t>
            </w:r>
          </w:p>
        </w:tc>
      </w:tr>
      <w:tr w14:paraId="26B8F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D8E036D">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C26235E">
            <w:pPr>
              <w:spacing w:before="78" w:line="223"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0E27C4E3">
            <w:pPr>
              <w:spacing w:before="103" w:line="189" w:lineRule="auto"/>
              <w:ind w:left="18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15.88</w:t>
            </w:r>
          </w:p>
        </w:tc>
      </w:tr>
      <w:tr w14:paraId="384D4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20C73CA3">
            <w:pPr>
              <w:spacing w:before="104" w:line="189" w:lineRule="auto"/>
              <w:ind w:left="19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2700" w:type="dxa"/>
            <w:vAlign w:val="center"/>
          </w:tcPr>
          <w:p w14:paraId="166DFB3B">
            <w:pPr>
              <w:spacing w:before="89" w:line="223"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动力费（不含税）</w:t>
            </w:r>
          </w:p>
        </w:tc>
        <w:tc>
          <w:tcPr>
            <w:tcW w:w="3581" w:type="dxa"/>
            <w:vAlign w:val="center"/>
          </w:tcPr>
          <w:p w14:paraId="144BBAE3">
            <w:pPr>
              <w:spacing w:before="104" w:line="189" w:lineRule="auto"/>
              <w:ind w:left="178"/>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5</w:t>
            </w:r>
            <w:r>
              <w:rPr>
                <w:rFonts w:hint="eastAsia" w:ascii="仿宋" w:hAnsi="仿宋" w:cs="仿宋"/>
                <w:color w:val="000000" w:themeColor="text1"/>
                <w:spacing w:val="-1"/>
                <w:sz w:val="24"/>
                <w:szCs w:val="24"/>
                <w:lang w:val="en-US" w:eastAsia="zh-CN"/>
                <w14:textFill>
                  <w14:solidFill>
                    <w14:schemeClr w14:val="tx1"/>
                  </w14:solidFill>
                </w14:textFill>
              </w:rPr>
              <w:t>5.35</w:t>
            </w:r>
          </w:p>
        </w:tc>
      </w:tr>
      <w:tr w14:paraId="768D9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08F4EA66">
            <w:pPr>
              <w:spacing w:before="105" w:line="189" w:lineRule="auto"/>
              <w:ind w:left="1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2.1</w:t>
            </w:r>
          </w:p>
        </w:tc>
        <w:tc>
          <w:tcPr>
            <w:tcW w:w="2700" w:type="dxa"/>
            <w:vAlign w:val="center"/>
          </w:tcPr>
          <w:p w14:paraId="36D0F7CA">
            <w:pPr>
              <w:spacing w:before="90" w:line="223" w:lineRule="auto"/>
              <w:ind w:left="49"/>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pacing w:val="-6"/>
                <w:sz w:val="24"/>
                <w:szCs w:val="24"/>
                <w14:textFill>
                  <w14:solidFill>
                    <w14:schemeClr w14:val="tx1"/>
                  </w14:solidFill>
                </w14:textFill>
              </w:rPr>
              <w:t>自来水</w:t>
            </w:r>
            <w:r>
              <w:rPr>
                <w:rFonts w:hint="eastAsia" w:ascii="仿宋" w:hAnsi="仿宋" w:cs="仿宋"/>
                <w:color w:val="000000" w:themeColor="text1"/>
                <w:spacing w:val="-6"/>
                <w:sz w:val="24"/>
                <w:szCs w:val="24"/>
                <w:lang w:eastAsia="zh-CN"/>
                <w14:textFill>
                  <w14:solidFill>
                    <w14:schemeClr w14:val="tx1"/>
                  </w14:solidFill>
                </w14:textFill>
              </w:rPr>
              <w:t>（</w:t>
            </w:r>
            <w:r>
              <w:rPr>
                <w:rFonts w:hint="eastAsia" w:ascii="仿宋" w:hAnsi="仿宋" w:cs="仿宋"/>
                <w:color w:val="000000" w:themeColor="text1"/>
                <w:spacing w:val="-6"/>
                <w:sz w:val="24"/>
                <w:szCs w:val="24"/>
                <w:lang w:val="en-US" w:eastAsia="zh-CN"/>
                <w14:textFill>
                  <w14:solidFill>
                    <w14:schemeClr w14:val="tx1"/>
                  </w14:solidFill>
                </w14:textFill>
              </w:rPr>
              <w:t>含税</w:t>
            </w:r>
            <w:r>
              <w:rPr>
                <w:rFonts w:hint="eastAsia" w:ascii="仿宋" w:hAnsi="仿宋" w:cs="仿宋"/>
                <w:color w:val="000000" w:themeColor="text1"/>
                <w:spacing w:val="-6"/>
                <w:sz w:val="24"/>
                <w:szCs w:val="24"/>
                <w:lang w:eastAsia="zh-CN"/>
                <w14:textFill>
                  <w14:solidFill>
                    <w14:schemeClr w14:val="tx1"/>
                  </w14:solidFill>
                </w14:textFill>
              </w:rPr>
              <w:t>）</w:t>
            </w:r>
          </w:p>
        </w:tc>
        <w:tc>
          <w:tcPr>
            <w:tcW w:w="3581" w:type="dxa"/>
            <w:vAlign w:val="center"/>
          </w:tcPr>
          <w:p w14:paraId="09BEC4B9">
            <w:pPr>
              <w:spacing w:before="105" w:line="189" w:lineRule="auto"/>
              <w:ind w:left="2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1.40</w:t>
            </w:r>
          </w:p>
        </w:tc>
      </w:tr>
      <w:tr w14:paraId="08F3A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30604202">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7D11CAB">
            <w:pPr>
              <w:spacing w:before="80" w:line="236"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2C45B313">
            <w:pPr>
              <w:spacing w:before="105" w:line="189" w:lineRule="auto"/>
              <w:ind w:left="27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2.5</w:t>
            </w:r>
          </w:p>
        </w:tc>
      </w:tr>
      <w:tr w14:paraId="4E14A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06BC9BA2">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0CAB50AC">
            <w:pPr>
              <w:spacing w:before="91" w:line="223"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数量（万吨）</w:t>
            </w:r>
          </w:p>
        </w:tc>
        <w:tc>
          <w:tcPr>
            <w:tcW w:w="3581" w:type="dxa"/>
            <w:vAlign w:val="center"/>
          </w:tcPr>
          <w:p w14:paraId="2342A084">
            <w:pPr>
              <w:spacing w:before="106" w:line="189" w:lineRule="auto"/>
              <w:ind w:left="20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0.56</w:t>
            </w:r>
          </w:p>
        </w:tc>
      </w:tr>
      <w:tr w14:paraId="3AB7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0A41FE1E">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20BE6A71">
            <w:pPr>
              <w:spacing w:before="82" w:line="223"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w:t>
            </w:r>
            <w:r>
              <w:rPr>
                <w:rFonts w:hint="eastAsia" w:ascii="仿宋" w:hAnsi="仿宋" w:cs="仿宋"/>
                <w:color w:val="000000" w:themeColor="text1"/>
                <w:spacing w:val="1"/>
                <w:sz w:val="24"/>
                <w:szCs w:val="24"/>
                <w:lang w:val="en-US" w:eastAsia="zh-CN"/>
                <w14:textFill>
                  <w14:solidFill>
                    <w14:schemeClr w14:val="tx1"/>
                  </w14:solidFill>
                </w14:textFill>
              </w:rPr>
              <w:t>13</w:t>
            </w:r>
            <w:r>
              <w:rPr>
                <w:rFonts w:hint="eastAsia" w:ascii="仿宋" w:hAnsi="仿宋" w:cs="仿宋"/>
                <w:color w:val="000000" w:themeColor="text1"/>
                <w:spacing w:val="1"/>
                <w:sz w:val="24"/>
                <w:szCs w:val="24"/>
                <w14:textFill>
                  <w14:solidFill>
                    <w14:schemeClr w14:val="tx1"/>
                  </w14:solidFill>
                </w14:textFill>
              </w:rPr>
              <w:t>%）</w:t>
            </w:r>
          </w:p>
        </w:tc>
        <w:tc>
          <w:tcPr>
            <w:tcW w:w="3581" w:type="dxa"/>
            <w:vAlign w:val="center"/>
          </w:tcPr>
          <w:p w14:paraId="4406249A">
            <w:pPr>
              <w:spacing w:before="107" w:line="189" w:lineRule="auto"/>
              <w:ind w:left="216"/>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0.1</w:t>
            </w:r>
            <w:r>
              <w:rPr>
                <w:rFonts w:hint="eastAsia" w:ascii="仿宋" w:hAnsi="仿宋" w:cs="仿宋"/>
                <w:color w:val="000000" w:themeColor="text1"/>
                <w:spacing w:val="-1"/>
                <w:sz w:val="24"/>
                <w:szCs w:val="24"/>
                <w:lang w:val="en-US" w:eastAsia="zh-CN"/>
                <w14:textFill>
                  <w14:solidFill>
                    <w14:schemeClr w14:val="tx1"/>
                  </w14:solidFill>
                </w14:textFill>
              </w:rPr>
              <w:t>8</w:t>
            </w:r>
          </w:p>
        </w:tc>
      </w:tr>
      <w:tr w14:paraId="3D072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99E4FC3">
            <w:pPr>
              <w:spacing w:before="108" w:line="189" w:lineRule="auto"/>
              <w:ind w:left="1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2.2</w:t>
            </w:r>
          </w:p>
        </w:tc>
        <w:tc>
          <w:tcPr>
            <w:tcW w:w="2700" w:type="dxa"/>
            <w:vAlign w:val="center"/>
          </w:tcPr>
          <w:p w14:paraId="6966BA70">
            <w:pPr>
              <w:spacing w:before="93" w:line="223" w:lineRule="auto"/>
              <w:ind w:left="37"/>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中水</w:t>
            </w:r>
            <w:r>
              <w:rPr>
                <w:rFonts w:hint="eastAsia" w:ascii="仿宋" w:hAnsi="仿宋" w:cs="仿宋"/>
                <w:color w:val="000000" w:themeColor="text1"/>
                <w:spacing w:val="-4"/>
                <w:sz w:val="24"/>
                <w:szCs w:val="24"/>
                <w:lang w:eastAsia="zh-CN"/>
                <w14:textFill>
                  <w14:solidFill>
                    <w14:schemeClr w14:val="tx1"/>
                  </w14:solidFill>
                </w14:textFill>
              </w:rPr>
              <w:t>（</w:t>
            </w:r>
            <w:r>
              <w:rPr>
                <w:rFonts w:hint="eastAsia" w:ascii="仿宋" w:hAnsi="仿宋" w:cs="仿宋"/>
                <w:color w:val="000000" w:themeColor="text1"/>
                <w:spacing w:val="-4"/>
                <w:sz w:val="24"/>
                <w:szCs w:val="24"/>
                <w:lang w:val="en-US" w:eastAsia="zh-CN"/>
                <w14:textFill>
                  <w14:solidFill>
                    <w14:schemeClr w14:val="tx1"/>
                  </w14:solidFill>
                </w14:textFill>
              </w:rPr>
              <w:t>含税</w:t>
            </w:r>
            <w:r>
              <w:rPr>
                <w:rFonts w:hint="eastAsia" w:ascii="仿宋" w:hAnsi="仿宋" w:cs="仿宋"/>
                <w:color w:val="000000" w:themeColor="text1"/>
                <w:spacing w:val="-4"/>
                <w:sz w:val="24"/>
                <w:szCs w:val="24"/>
                <w:lang w:eastAsia="zh-CN"/>
                <w14:textFill>
                  <w14:solidFill>
                    <w14:schemeClr w14:val="tx1"/>
                  </w14:solidFill>
                </w14:textFill>
              </w:rPr>
              <w:t>）</w:t>
            </w:r>
          </w:p>
        </w:tc>
        <w:tc>
          <w:tcPr>
            <w:tcW w:w="3581" w:type="dxa"/>
            <w:vAlign w:val="center"/>
          </w:tcPr>
          <w:p w14:paraId="250B4949">
            <w:pPr>
              <w:spacing w:before="108" w:line="189" w:lineRule="auto"/>
              <w:ind w:left="177"/>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62.24</w:t>
            </w:r>
          </w:p>
        </w:tc>
      </w:tr>
      <w:tr w14:paraId="34B7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57520995">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01468268">
            <w:pPr>
              <w:spacing w:before="84" w:line="236"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单价（元/吨）</w:t>
            </w:r>
          </w:p>
        </w:tc>
        <w:tc>
          <w:tcPr>
            <w:tcW w:w="3581" w:type="dxa"/>
            <w:vAlign w:val="center"/>
          </w:tcPr>
          <w:p w14:paraId="09058B21">
            <w:pPr>
              <w:spacing w:before="109" w:line="189" w:lineRule="auto"/>
              <w:ind w:left="35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r>
      <w:tr w14:paraId="28EE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02FCFB6">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75407D53">
            <w:pPr>
              <w:spacing w:before="95" w:line="223"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数量（万吨）</w:t>
            </w:r>
          </w:p>
        </w:tc>
        <w:tc>
          <w:tcPr>
            <w:tcW w:w="3581" w:type="dxa"/>
            <w:vAlign w:val="center"/>
          </w:tcPr>
          <w:p w14:paraId="4614D9A8">
            <w:pPr>
              <w:spacing w:before="110" w:line="189" w:lineRule="auto"/>
              <w:ind w:left="17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62.24</w:t>
            </w:r>
          </w:p>
        </w:tc>
      </w:tr>
      <w:tr w14:paraId="0D5EC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BACEBC1">
            <w:pPr>
              <w:pStyle w:val="51"/>
              <w:jc w:val="center"/>
              <w:rPr>
                <w:rFonts w:hint="eastAsia" w:ascii="仿宋" w:hAnsi="仿宋" w:eastAsia="仿宋" w:cs="仿宋"/>
                <w:color w:val="000000" w:themeColor="text1"/>
                <w:sz w:val="24"/>
                <w:szCs w:val="24"/>
                <w14:textFill>
                  <w14:solidFill>
                    <w14:schemeClr w14:val="tx1"/>
                  </w14:solidFill>
                </w14:textFill>
              </w:rPr>
            </w:pPr>
          </w:p>
        </w:tc>
        <w:tc>
          <w:tcPr>
            <w:tcW w:w="2700" w:type="dxa"/>
            <w:vAlign w:val="center"/>
          </w:tcPr>
          <w:p w14:paraId="63DD3D14">
            <w:pPr>
              <w:spacing w:before="85" w:line="223"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进项税额（13%）</w:t>
            </w:r>
          </w:p>
        </w:tc>
        <w:tc>
          <w:tcPr>
            <w:tcW w:w="3581" w:type="dxa"/>
            <w:vAlign w:val="center"/>
          </w:tcPr>
          <w:p w14:paraId="397D0CBF">
            <w:pPr>
              <w:spacing w:before="110" w:line="189" w:lineRule="auto"/>
              <w:ind w:left="218"/>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8.11</w:t>
            </w:r>
          </w:p>
        </w:tc>
      </w:tr>
    </w:tbl>
    <w:p w14:paraId="07BCDF8D">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其他处理费用</w:t>
      </w:r>
    </w:p>
    <w:p w14:paraId="73D8DAEB">
      <w:pPr>
        <w:ind w:firstLine="560" w:firstLineChars="200"/>
        <w:rPr>
          <w:rFonts w:hint="eastAsia"/>
          <w:color w:val="000000" w:themeColor="text1"/>
          <w:szCs w:val="28"/>
          <w14:textFill>
            <w14:solidFill>
              <w14:schemeClr w14:val="tx1"/>
            </w14:solidFill>
          </w14:textFill>
        </w:rPr>
      </w:pPr>
      <w:r>
        <w:rPr>
          <w:rFonts w:hint="eastAsia"/>
          <w:color w:val="000000" w:themeColor="text1"/>
          <w14:textFill>
            <w14:solidFill>
              <w14:schemeClr w14:val="tx1"/>
            </w14:solidFill>
          </w14:textFill>
        </w:rPr>
        <w:t>其他处理费用</w:t>
      </w:r>
      <w:r>
        <w:rPr>
          <w:rFonts w:hint="eastAsia"/>
          <w:color w:val="000000" w:themeColor="text1"/>
          <w:szCs w:val="28"/>
          <w14:textFill>
            <w14:solidFill>
              <w14:schemeClr w14:val="tx1"/>
            </w14:solidFill>
          </w14:textFill>
        </w:rPr>
        <w:t>主要</w:t>
      </w:r>
      <w:r>
        <w:rPr>
          <w:color w:val="000000" w:themeColor="text1"/>
          <w:szCs w:val="28"/>
          <w14:textFill>
            <w14:solidFill>
              <w14:schemeClr w14:val="tx1"/>
            </w14:solidFill>
          </w14:textFill>
        </w:rPr>
        <w:t>包括</w:t>
      </w:r>
      <w:r>
        <w:rPr>
          <w:rFonts w:hint="eastAsia"/>
          <w:color w:val="000000" w:themeColor="text1"/>
          <w14:textFill>
            <w14:solidFill>
              <w14:schemeClr w14:val="tx1"/>
            </w14:solidFill>
          </w14:textFill>
        </w:rPr>
        <w:t>渗沥液处置费、工业废水处理费、飞灰运输费、飞灰填埋费，</w:t>
      </w:r>
      <w:r>
        <w:rPr>
          <w:rFonts w:hint="eastAsia"/>
          <w:color w:val="000000" w:themeColor="text1"/>
          <w:szCs w:val="28"/>
          <w14:textFill>
            <w14:solidFill>
              <w14:schemeClr w14:val="tx1"/>
            </w14:solidFill>
          </w14:textFill>
        </w:rPr>
        <w:t>税率按照13%计，则总成本1345.36万元/年，折合46.07元/吨。</w:t>
      </w:r>
    </w:p>
    <w:p w14:paraId="4BB92F40">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其他处理费用明细表</w:t>
      </w:r>
    </w:p>
    <w:tbl>
      <w:tblPr>
        <w:tblStyle w:val="52"/>
        <w:tblW w:w="768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2"/>
        <w:gridCol w:w="2700"/>
        <w:gridCol w:w="3581"/>
      </w:tblGrid>
      <w:tr w14:paraId="1650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Merge w:val="restart"/>
            <w:tcBorders>
              <w:bottom w:val="nil"/>
            </w:tcBorders>
            <w:shd w:val="clear" w:color="auto" w:fill="BDD6EE" w:themeFill="accent1" w:themeFillTint="66"/>
            <w:vAlign w:val="center"/>
          </w:tcPr>
          <w:p w14:paraId="61535A23">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2700" w:type="dxa"/>
            <w:vMerge w:val="restart"/>
            <w:tcBorders>
              <w:bottom w:val="nil"/>
            </w:tcBorders>
            <w:shd w:val="clear" w:color="auto" w:fill="BDD6EE" w:themeFill="accent1" w:themeFillTint="66"/>
            <w:vAlign w:val="center"/>
          </w:tcPr>
          <w:p w14:paraId="55B5D8CA">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项目</w:t>
            </w:r>
          </w:p>
        </w:tc>
        <w:tc>
          <w:tcPr>
            <w:tcW w:w="3581" w:type="dxa"/>
            <w:vMerge w:val="restart"/>
            <w:tcBorders>
              <w:bottom w:val="nil"/>
            </w:tcBorders>
            <w:shd w:val="clear" w:color="auto" w:fill="BDD6EE" w:themeFill="accent1" w:themeFillTint="66"/>
            <w:vAlign w:val="center"/>
          </w:tcPr>
          <w:p w14:paraId="3C4AA2B0">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费用</w:t>
            </w:r>
          </w:p>
        </w:tc>
      </w:tr>
      <w:tr w14:paraId="7C53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402" w:type="dxa"/>
            <w:vMerge w:val="continue"/>
            <w:tcBorders>
              <w:top w:val="nil"/>
            </w:tcBorders>
            <w:shd w:val="clear" w:color="auto" w:fill="BDD6EE" w:themeFill="accent1" w:themeFillTint="66"/>
            <w:vAlign w:val="center"/>
          </w:tcPr>
          <w:p w14:paraId="16A6A6E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Merge w:val="continue"/>
            <w:tcBorders>
              <w:top w:val="nil"/>
            </w:tcBorders>
            <w:shd w:val="clear" w:color="auto" w:fill="BDD6EE" w:themeFill="accent1" w:themeFillTint="66"/>
            <w:vAlign w:val="center"/>
          </w:tcPr>
          <w:p w14:paraId="125DA6BD">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3581" w:type="dxa"/>
            <w:vMerge w:val="continue"/>
            <w:tcBorders>
              <w:top w:val="nil"/>
            </w:tcBorders>
            <w:shd w:val="clear" w:color="auto" w:fill="BDD6EE" w:themeFill="accent1" w:themeFillTint="66"/>
            <w:vAlign w:val="center"/>
          </w:tcPr>
          <w:p w14:paraId="2DD26AB1">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61E7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35FDF472">
            <w:pPr>
              <w:spacing w:before="100" w:line="189" w:lineRule="auto"/>
              <w:ind w:left="20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700" w:type="dxa"/>
            <w:vAlign w:val="center"/>
          </w:tcPr>
          <w:p w14:paraId="6A978577">
            <w:pPr>
              <w:spacing w:before="71" w:line="223" w:lineRule="auto"/>
              <w:ind w:left="3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固化后飞灰运输费</w:t>
            </w:r>
          </w:p>
          <w:p w14:paraId="51E80E15">
            <w:pPr>
              <w:spacing w:before="71" w:line="223" w:lineRule="auto"/>
              <w:ind w:left="3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（不含税）</w:t>
            </w:r>
          </w:p>
        </w:tc>
        <w:tc>
          <w:tcPr>
            <w:tcW w:w="3581" w:type="dxa"/>
            <w:vAlign w:val="center"/>
          </w:tcPr>
          <w:p w14:paraId="4E710C07">
            <w:pPr>
              <w:spacing w:before="100" w:line="189" w:lineRule="auto"/>
              <w:ind w:left="19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1.91</w:t>
            </w:r>
          </w:p>
        </w:tc>
      </w:tr>
      <w:tr w14:paraId="7511C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7F57E1DE">
            <w:pPr>
              <w:spacing w:before="100" w:line="189" w:lineRule="auto"/>
              <w:ind w:left="14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1.1</w:t>
            </w:r>
          </w:p>
        </w:tc>
        <w:tc>
          <w:tcPr>
            <w:tcW w:w="2700" w:type="dxa"/>
            <w:vAlign w:val="center"/>
          </w:tcPr>
          <w:p w14:paraId="6980ED65">
            <w:pPr>
              <w:spacing w:before="75" w:line="236" w:lineRule="auto"/>
              <w:ind w:left="2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处理单价（元/吨）</w:t>
            </w:r>
          </w:p>
        </w:tc>
        <w:tc>
          <w:tcPr>
            <w:tcW w:w="3581" w:type="dxa"/>
            <w:vAlign w:val="center"/>
          </w:tcPr>
          <w:p w14:paraId="12201D53">
            <w:pPr>
              <w:spacing w:before="100" w:line="189" w:lineRule="auto"/>
              <w:ind w:left="18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4.00</w:t>
            </w:r>
          </w:p>
        </w:tc>
      </w:tr>
      <w:tr w14:paraId="37215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45FDE149">
            <w:pPr>
              <w:spacing w:before="101" w:line="189" w:lineRule="auto"/>
              <w:ind w:left="14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1.2</w:t>
            </w:r>
          </w:p>
        </w:tc>
        <w:tc>
          <w:tcPr>
            <w:tcW w:w="2700" w:type="dxa"/>
            <w:vAlign w:val="center"/>
          </w:tcPr>
          <w:p w14:paraId="37B87C6B">
            <w:pPr>
              <w:spacing w:before="76" w:line="237" w:lineRule="auto"/>
              <w:ind w:left="2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产生量（万吨/年）</w:t>
            </w:r>
          </w:p>
        </w:tc>
        <w:tc>
          <w:tcPr>
            <w:tcW w:w="3581" w:type="dxa"/>
            <w:vAlign w:val="center"/>
          </w:tcPr>
          <w:p w14:paraId="3B89F8FA">
            <w:pPr>
              <w:spacing w:before="101" w:line="189" w:lineRule="auto"/>
              <w:ind w:left="18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0.54</w:t>
            </w:r>
          </w:p>
        </w:tc>
      </w:tr>
      <w:tr w14:paraId="7BC96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5D602CC">
            <w:pPr>
              <w:spacing w:before="102" w:line="189" w:lineRule="auto"/>
              <w:ind w:left="14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1.3</w:t>
            </w:r>
          </w:p>
        </w:tc>
        <w:tc>
          <w:tcPr>
            <w:tcW w:w="2700" w:type="dxa"/>
            <w:vAlign w:val="center"/>
          </w:tcPr>
          <w:p w14:paraId="4E3600EF">
            <w:pPr>
              <w:spacing w:before="84" w:line="224"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进项税（9%）</w:t>
            </w:r>
          </w:p>
        </w:tc>
        <w:tc>
          <w:tcPr>
            <w:tcW w:w="3581" w:type="dxa"/>
            <w:vAlign w:val="center"/>
          </w:tcPr>
          <w:p w14:paraId="08CEACD7">
            <w:pPr>
              <w:spacing w:before="102" w:line="189" w:lineRule="auto"/>
              <w:ind w:left="18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0.17</w:t>
            </w:r>
          </w:p>
        </w:tc>
      </w:tr>
      <w:tr w14:paraId="7B39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8E80D2D">
            <w:pPr>
              <w:spacing w:before="103" w:line="189" w:lineRule="auto"/>
              <w:ind w:left="19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2700" w:type="dxa"/>
            <w:vAlign w:val="center"/>
          </w:tcPr>
          <w:p w14:paraId="794E76F3">
            <w:pPr>
              <w:spacing w:before="73" w:line="223" w:lineRule="auto"/>
              <w:ind w:left="3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固化后飞灰填埋费</w:t>
            </w:r>
          </w:p>
          <w:p w14:paraId="52362F01">
            <w:pPr>
              <w:spacing w:before="73" w:line="223" w:lineRule="auto"/>
              <w:ind w:left="3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（不含税）</w:t>
            </w:r>
          </w:p>
        </w:tc>
        <w:tc>
          <w:tcPr>
            <w:tcW w:w="3581" w:type="dxa"/>
            <w:vAlign w:val="center"/>
          </w:tcPr>
          <w:p w14:paraId="03B61468">
            <w:pPr>
              <w:spacing w:before="103" w:line="189" w:lineRule="auto"/>
              <w:ind w:left="10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529.65</w:t>
            </w:r>
          </w:p>
        </w:tc>
      </w:tr>
      <w:tr w14:paraId="3908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6829A2F3">
            <w:pPr>
              <w:spacing w:before="104" w:line="189" w:lineRule="auto"/>
              <w:ind w:left="1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2.1</w:t>
            </w:r>
          </w:p>
        </w:tc>
        <w:tc>
          <w:tcPr>
            <w:tcW w:w="2700" w:type="dxa"/>
            <w:vAlign w:val="center"/>
          </w:tcPr>
          <w:p w14:paraId="205D3EF0">
            <w:pPr>
              <w:spacing w:before="79" w:line="236" w:lineRule="auto"/>
              <w:ind w:left="2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处理单价（元/吨）</w:t>
            </w:r>
          </w:p>
        </w:tc>
        <w:tc>
          <w:tcPr>
            <w:tcW w:w="3581" w:type="dxa"/>
            <w:vAlign w:val="center"/>
          </w:tcPr>
          <w:p w14:paraId="34443DED">
            <w:pPr>
              <w:spacing w:before="104" w:line="189" w:lineRule="auto"/>
              <w:ind w:left="10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300.00</w:t>
            </w:r>
          </w:p>
        </w:tc>
      </w:tr>
      <w:tr w14:paraId="207A1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16D17B00">
            <w:pPr>
              <w:spacing w:before="105" w:line="189" w:lineRule="auto"/>
              <w:ind w:left="1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2.2</w:t>
            </w:r>
          </w:p>
        </w:tc>
        <w:tc>
          <w:tcPr>
            <w:tcW w:w="2700" w:type="dxa"/>
            <w:vAlign w:val="center"/>
          </w:tcPr>
          <w:p w14:paraId="7D6872CF">
            <w:pPr>
              <w:spacing w:before="81" w:line="237" w:lineRule="auto"/>
              <w:ind w:left="2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产生量（万吨/年）</w:t>
            </w:r>
          </w:p>
        </w:tc>
        <w:tc>
          <w:tcPr>
            <w:tcW w:w="3581" w:type="dxa"/>
            <w:vAlign w:val="center"/>
          </w:tcPr>
          <w:p w14:paraId="2B0957CD">
            <w:pPr>
              <w:spacing w:before="105" w:line="189" w:lineRule="auto"/>
              <w:ind w:left="18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2.00</w:t>
            </w:r>
          </w:p>
        </w:tc>
      </w:tr>
      <w:tr w14:paraId="6C15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07B0C431">
            <w:pPr>
              <w:spacing w:before="105" w:line="189" w:lineRule="auto"/>
              <w:ind w:left="13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2.3</w:t>
            </w:r>
          </w:p>
        </w:tc>
        <w:tc>
          <w:tcPr>
            <w:tcW w:w="2700" w:type="dxa"/>
            <w:vAlign w:val="center"/>
          </w:tcPr>
          <w:p w14:paraId="236330BE">
            <w:pPr>
              <w:spacing w:before="87" w:line="224"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进项税（13%）</w:t>
            </w:r>
          </w:p>
        </w:tc>
        <w:tc>
          <w:tcPr>
            <w:tcW w:w="3581" w:type="dxa"/>
            <w:vAlign w:val="center"/>
          </w:tcPr>
          <w:p w14:paraId="2F51B18E">
            <w:pPr>
              <w:spacing w:before="105" w:line="189" w:lineRule="auto"/>
              <w:ind w:left="14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63.56</w:t>
            </w:r>
          </w:p>
        </w:tc>
      </w:tr>
      <w:tr w14:paraId="4EA4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0C3D28A7">
            <w:pPr>
              <w:spacing w:before="158" w:line="189" w:lineRule="auto"/>
              <w:ind w:left="19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2700" w:type="dxa"/>
            <w:vAlign w:val="center"/>
          </w:tcPr>
          <w:p w14:paraId="214D533B">
            <w:pPr>
              <w:spacing w:before="143" w:line="223"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渗沥液处置费（不含税）</w:t>
            </w:r>
          </w:p>
        </w:tc>
        <w:tc>
          <w:tcPr>
            <w:tcW w:w="3581" w:type="dxa"/>
            <w:vAlign w:val="center"/>
          </w:tcPr>
          <w:p w14:paraId="2E7EB9A1">
            <w:pPr>
              <w:spacing w:before="158" w:line="189" w:lineRule="auto"/>
              <w:ind w:left="10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562.12</w:t>
            </w:r>
          </w:p>
        </w:tc>
      </w:tr>
      <w:tr w14:paraId="29D0B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08D2DC8F">
            <w:pPr>
              <w:spacing w:before="106" w:line="189" w:lineRule="auto"/>
              <w:ind w:left="13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3.1</w:t>
            </w:r>
          </w:p>
        </w:tc>
        <w:tc>
          <w:tcPr>
            <w:tcW w:w="2700" w:type="dxa"/>
            <w:vAlign w:val="center"/>
          </w:tcPr>
          <w:p w14:paraId="1C64020A">
            <w:pPr>
              <w:spacing w:before="81" w:line="238"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渗沥液处置费（元/吨）</w:t>
            </w:r>
          </w:p>
        </w:tc>
        <w:tc>
          <w:tcPr>
            <w:tcW w:w="3581" w:type="dxa"/>
            <w:vAlign w:val="center"/>
          </w:tcPr>
          <w:p w14:paraId="43AEF3ED">
            <w:pPr>
              <w:spacing w:before="106" w:line="189" w:lineRule="auto"/>
              <w:ind w:left="261"/>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67</w:t>
            </w:r>
          </w:p>
        </w:tc>
      </w:tr>
      <w:tr w14:paraId="7DCF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462607E9">
            <w:pPr>
              <w:spacing w:before="106" w:line="189" w:lineRule="auto"/>
              <w:ind w:left="13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3.2</w:t>
            </w:r>
          </w:p>
        </w:tc>
        <w:tc>
          <w:tcPr>
            <w:tcW w:w="2700" w:type="dxa"/>
            <w:vAlign w:val="center"/>
          </w:tcPr>
          <w:p w14:paraId="3C0A3F99">
            <w:pPr>
              <w:spacing w:before="81" w:line="237"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渗沥液产生量（万吨/年）</w:t>
            </w:r>
          </w:p>
        </w:tc>
        <w:tc>
          <w:tcPr>
            <w:tcW w:w="3581" w:type="dxa"/>
            <w:vAlign w:val="center"/>
          </w:tcPr>
          <w:p w14:paraId="7036B522">
            <w:pPr>
              <w:spacing w:before="106" w:line="189" w:lineRule="auto"/>
              <w:ind w:left="155"/>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pacing w:val="-2"/>
                <w:sz w:val="24"/>
                <w:szCs w:val="24"/>
                <w:lang w:val="en-US" w:eastAsia="zh-CN"/>
                <w14:textFill>
                  <w14:solidFill>
                    <w14:schemeClr w14:val="tx1"/>
                  </w14:solidFill>
                </w14:textFill>
              </w:rPr>
              <w:t>9.45</w:t>
            </w:r>
          </w:p>
        </w:tc>
      </w:tr>
      <w:tr w14:paraId="0939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287B3E1D">
            <w:pPr>
              <w:spacing w:before="107" w:line="189" w:lineRule="auto"/>
              <w:ind w:left="13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3.3</w:t>
            </w:r>
          </w:p>
        </w:tc>
        <w:tc>
          <w:tcPr>
            <w:tcW w:w="2700" w:type="dxa"/>
            <w:vAlign w:val="center"/>
          </w:tcPr>
          <w:p w14:paraId="1B0A9CA7">
            <w:pPr>
              <w:spacing w:before="89" w:line="224"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渗沥液进项税（13%）</w:t>
            </w:r>
          </w:p>
        </w:tc>
        <w:tc>
          <w:tcPr>
            <w:tcW w:w="3581" w:type="dxa"/>
            <w:vAlign w:val="center"/>
          </w:tcPr>
          <w:p w14:paraId="01287C67">
            <w:pPr>
              <w:spacing w:before="107" w:line="189" w:lineRule="auto"/>
              <w:ind w:left="14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73.08</w:t>
            </w:r>
          </w:p>
        </w:tc>
      </w:tr>
      <w:tr w14:paraId="0ACC1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041EA73">
            <w:pPr>
              <w:spacing w:before="108" w:line="189" w:lineRule="auto"/>
              <w:ind w:left="18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p>
        </w:tc>
        <w:tc>
          <w:tcPr>
            <w:tcW w:w="2700" w:type="dxa"/>
            <w:vAlign w:val="center"/>
          </w:tcPr>
          <w:p w14:paraId="2BCC3A0C">
            <w:pPr>
              <w:spacing w:before="90" w:line="223" w:lineRule="auto"/>
              <w:ind w:left="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工业废水处理费（不含税）</w:t>
            </w:r>
          </w:p>
        </w:tc>
        <w:tc>
          <w:tcPr>
            <w:tcW w:w="3581" w:type="dxa"/>
            <w:vAlign w:val="center"/>
          </w:tcPr>
          <w:p w14:paraId="54DBAEC2">
            <w:pPr>
              <w:spacing w:before="108" w:line="189" w:lineRule="auto"/>
              <w:ind w:left="14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96.90</w:t>
            </w:r>
          </w:p>
        </w:tc>
      </w:tr>
      <w:tr w14:paraId="3D39E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53BAB5B1">
            <w:pPr>
              <w:spacing w:before="108" w:line="189" w:lineRule="auto"/>
              <w:ind w:left="12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4.1</w:t>
            </w:r>
          </w:p>
        </w:tc>
        <w:tc>
          <w:tcPr>
            <w:tcW w:w="2700" w:type="dxa"/>
            <w:vAlign w:val="center"/>
          </w:tcPr>
          <w:p w14:paraId="3CD9330C">
            <w:pPr>
              <w:spacing w:before="90" w:line="222" w:lineRule="auto"/>
              <w:ind w:left="24"/>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工业废水处理单价</w:t>
            </w:r>
          </w:p>
          <w:p w14:paraId="738834D7">
            <w:pPr>
              <w:spacing w:before="90" w:line="222" w:lineRule="auto"/>
              <w:ind w:left="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（元/吨）</w:t>
            </w:r>
          </w:p>
        </w:tc>
        <w:tc>
          <w:tcPr>
            <w:tcW w:w="3581" w:type="dxa"/>
            <w:vAlign w:val="center"/>
          </w:tcPr>
          <w:p w14:paraId="4B600202">
            <w:pPr>
              <w:spacing w:before="108" w:line="189" w:lineRule="auto"/>
              <w:ind w:left="25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15</w:t>
            </w:r>
          </w:p>
        </w:tc>
      </w:tr>
      <w:tr w14:paraId="7513E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vAlign w:val="center"/>
          </w:tcPr>
          <w:p w14:paraId="7096EA47">
            <w:pPr>
              <w:spacing w:before="109" w:line="189" w:lineRule="auto"/>
              <w:ind w:left="12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4.2</w:t>
            </w:r>
          </w:p>
        </w:tc>
        <w:tc>
          <w:tcPr>
            <w:tcW w:w="2700" w:type="dxa"/>
            <w:vAlign w:val="center"/>
          </w:tcPr>
          <w:p w14:paraId="68A689F8">
            <w:pPr>
              <w:spacing w:before="91" w:line="223" w:lineRule="auto"/>
              <w:ind w:left="24"/>
              <w:jc w:val="center"/>
              <w:rPr>
                <w:rFonts w:hint="eastAsia" w:ascii="仿宋" w:hAnsi="仿宋" w:cs="仿宋"/>
                <w:color w:val="000000" w:themeColor="text1"/>
                <w:spacing w:val="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工业废水产生量</w:t>
            </w:r>
          </w:p>
          <w:p w14:paraId="5807E9C0">
            <w:pPr>
              <w:spacing w:before="91" w:line="223" w:lineRule="auto"/>
              <w:ind w:left="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（万吨/年）</w:t>
            </w:r>
          </w:p>
        </w:tc>
        <w:tc>
          <w:tcPr>
            <w:tcW w:w="3581" w:type="dxa"/>
            <w:vAlign w:val="center"/>
          </w:tcPr>
          <w:p w14:paraId="429F51DA">
            <w:pPr>
              <w:spacing w:before="109" w:line="189" w:lineRule="auto"/>
              <w:ind w:left="18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7.30</w:t>
            </w:r>
          </w:p>
        </w:tc>
      </w:tr>
      <w:tr w14:paraId="62106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vAlign w:val="center"/>
          </w:tcPr>
          <w:p w14:paraId="18DD1915">
            <w:pPr>
              <w:spacing w:before="110" w:line="189" w:lineRule="auto"/>
              <w:ind w:left="129"/>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p>
        </w:tc>
        <w:tc>
          <w:tcPr>
            <w:tcW w:w="2700" w:type="dxa"/>
            <w:vAlign w:val="center"/>
          </w:tcPr>
          <w:p w14:paraId="7517FE96">
            <w:pPr>
              <w:spacing w:before="92" w:line="223" w:lineRule="auto"/>
              <w:ind w:left="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工业废水进项税（13%）</w:t>
            </w:r>
          </w:p>
        </w:tc>
        <w:tc>
          <w:tcPr>
            <w:tcW w:w="3581" w:type="dxa"/>
            <w:vAlign w:val="center"/>
          </w:tcPr>
          <w:p w14:paraId="348EB708">
            <w:pPr>
              <w:spacing w:before="110" w:line="189" w:lineRule="auto"/>
              <w:ind w:left="19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3"/>
                <w:sz w:val="24"/>
                <w:szCs w:val="24"/>
                <w14:textFill>
                  <w14:solidFill>
                    <w14:schemeClr w14:val="tx1"/>
                  </w14:solidFill>
                </w14:textFill>
              </w:rPr>
              <w:t>12.6</w:t>
            </w:r>
          </w:p>
        </w:tc>
      </w:tr>
    </w:tbl>
    <w:p w14:paraId="2B85A67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环境监测及调查分析费</w:t>
      </w:r>
    </w:p>
    <w:p w14:paraId="415078B4">
      <w:pPr>
        <w:ind w:firstLine="560" w:firstLineChars="200"/>
        <w:rPr>
          <w:color w:val="000000" w:themeColor="text1"/>
          <w:szCs w:val="28"/>
          <w14:textFill>
            <w14:solidFill>
              <w14:schemeClr w14:val="tx1"/>
            </w14:solidFill>
          </w14:textFill>
        </w:rPr>
      </w:pPr>
      <w:r>
        <w:rPr>
          <w:color w:val="000000" w:themeColor="text1"/>
          <w14:textFill>
            <w14:solidFill>
              <w14:schemeClr w14:val="tx1"/>
            </w14:solidFill>
          </w14:textFill>
        </w:rPr>
        <w:t>环境监测及调查分析费</w:t>
      </w:r>
      <w:r>
        <w:rPr>
          <w:rFonts w:hint="eastAsia"/>
          <w:color w:val="000000" w:themeColor="text1"/>
          <w:szCs w:val="28"/>
          <w14:textFill>
            <w14:solidFill>
              <w14:schemeClr w14:val="tx1"/>
            </w14:solidFill>
          </w14:textFill>
        </w:rPr>
        <w:t>税率按照6%计，则总成本15.9万元/年，折合0.54元/吨。</w:t>
      </w:r>
    </w:p>
    <w:p w14:paraId="473357D3">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职工薪酬</w:t>
      </w:r>
    </w:p>
    <w:p w14:paraId="17BD099B">
      <w:pPr>
        <w:ind w:firstLine="560" w:firstLineChars="200"/>
        <w:rPr>
          <w:rFonts w:hint="eastAsia"/>
          <w:color w:val="000000" w:themeColor="text1"/>
          <w:szCs w:val="28"/>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提供的技术文件，人工包括工人54人，人均工资为7万元/年，技术人员11人，人均工资为8万元/年，管理人员8人，人均工资为10万元/年，年福利费按工资总额的14%计列，年总工资及福利费为622.44万元/年，</w:t>
      </w:r>
      <w:r>
        <w:rPr>
          <w:rFonts w:hint="eastAsia"/>
          <w:color w:val="000000" w:themeColor="text1"/>
          <w:szCs w:val="28"/>
          <w14:textFill>
            <w14:solidFill>
              <w14:schemeClr w14:val="tx1"/>
            </w14:solidFill>
          </w14:textFill>
        </w:rPr>
        <w:t>折合</w:t>
      </w:r>
      <w:r>
        <w:rPr>
          <w:rFonts w:hint="eastAsia"/>
          <w:color w:val="000000" w:themeColor="text1"/>
          <w14:textFill>
            <w14:solidFill>
              <w14:schemeClr w14:val="tx1"/>
            </w14:solidFill>
          </w14:textFill>
        </w:rPr>
        <w:t>21.32</w:t>
      </w:r>
      <w:r>
        <w:rPr>
          <w:rFonts w:hint="eastAsia"/>
          <w:color w:val="000000" w:themeColor="text1"/>
          <w:szCs w:val="28"/>
          <w14:textFill>
            <w14:solidFill>
              <w14:schemeClr w14:val="tx1"/>
            </w14:solidFill>
          </w14:textFill>
        </w:rPr>
        <w:t>元/吨。</w:t>
      </w:r>
    </w:p>
    <w:p w14:paraId="2776056A">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职工薪酬明细表</w:t>
      </w:r>
    </w:p>
    <w:tbl>
      <w:tblPr>
        <w:tblStyle w:val="52"/>
        <w:tblW w:w="768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2"/>
        <w:gridCol w:w="2700"/>
        <w:gridCol w:w="3581"/>
      </w:tblGrid>
      <w:tr w14:paraId="2859D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jc w:val="center"/>
        </w:trPr>
        <w:tc>
          <w:tcPr>
            <w:tcW w:w="1402" w:type="dxa"/>
            <w:vMerge w:val="restart"/>
            <w:tcBorders>
              <w:bottom w:val="nil"/>
            </w:tcBorders>
            <w:shd w:val="clear" w:color="auto" w:fill="BDD6EE" w:themeFill="accent1" w:themeFillTint="66"/>
            <w:vAlign w:val="center"/>
          </w:tcPr>
          <w:p w14:paraId="4A262B84">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序号</w:t>
            </w:r>
          </w:p>
        </w:tc>
        <w:tc>
          <w:tcPr>
            <w:tcW w:w="2700" w:type="dxa"/>
            <w:vMerge w:val="restart"/>
            <w:tcBorders>
              <w:bottom w:val="nil"/>
            </w:tcBorders>
            <w:shd w:val="clear" w:color="auto" w:fill="BDD6EE" w:themeFill="accent1" w:themeFillTint="66"/>
            <w:vAlign w:val="center"/>
          </w:tcPr>
          <w:p w14:paraId="3560473D">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项目</w:t>
            </w:r>
          </w:p>
        </w:tc>
        <w:tc>
          <w:tcPr>
            <w:tcW w:w="3581" w:type="dxa"/>
            <w:vMerge w:val="restart"/>
            <w:tcBorders>
              <w:bottom w:val="nil"/>
            </w:tcBorders>
            <w:shd w:val="clear" w:color="auto" w:fill="BDD6EE" w:themeFill="accent1" w:themeFillTint="66"/>
            <w:vAlign w:val="center"/>
          </w:tcPr>
          <w:p w14:paraId="4999B24C">
            <w:pPr>
              <w:spacing w:line="240" w:lineRule="auto"/>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费用</w:t>
            </w:r>
          </w:p>
        </w:tc>
      </w:tr>
      <w:tr w14:paraId="5D4DD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402" w:type="dxa"/>
            <w:vMerge w:val="continue"/>
            <w:tcBorders>
              <w:top w:val="nil"/>
            </w:tcBorders>
            <w:shd w:val="clear" w:color="auto" w:fill="BDD6EE" w:themeFill="accent1" w:themeFillTint="66"/>
            <w:vAlign w:val="center"/>
          </w:tcPr>
          <w:p w14:paraId="1AA10901">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vMerge w:val="continue"/>
            <w:tcBorders>
              <w:top w:val="nil"/>
            </w:tcBorders>
            <w:shd w:val="clear" w:color="auto" w:fill="BDD6EE" w:themeFill="accent1" w:themeFillTint="66"/>
            <w:vAlign w:val="center"/>
          </w:tcPr>
          <w:p w14:paraId="2EE33B2A">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3581" w:type="dxa"/>
            <w:vMerge w:val="continue"/>
            <w:tcBorders>
              <w:top w:val="nil"/>
            </w:tcBorders>
            <w:shd w:val="clear" w:color="auto" w:fill="BDD6EE" w:themeFill="accent1" w:themeFillTint="66"/>
            <w:vAlign w:val="center"/>
          </w:tcPr>
          <w:p w14:paraId="5E617EE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5F66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0E983A73">
            <w:pPr>
              <w:spacing w:before="101" w:line="240" w:lineRule="auto"/>
              <w:ind w:left="25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700" w:type="dxa"/>
          </w:tcPr>
          <w:p w14:paraId="0106FEB6">
            <w:pPr>
              <w:spacing w:before="83"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工人</w:t>
            </w:r>
          </w:p>
        </w:tc>
        <w:tc>
          <w:tcPr>
            <w:tcW w:w="3581" w:type="dxa"/>
          </w:tcPr>
          <w:p w14:paraId="046630B0">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0510A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78BB6E78">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4989EF66">
            <w:pPr>
              <w:spacing w:before="84"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人数</w:t>
            </w:r>
          </w:p>
        </w:tc>
        <w:tc>
          <w:tcPr>
            <w:tcW w:w="3581" w:type="dxa"/>
          </w:tcPr>
          <w:p w14:paraId="4BB1F4FF">
            <w:pPr>
              <w:spacing w:before="102" w:line="240" w:lineRule="auto"/>
              <w:ind w:left="28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54</w:t>
            </w:r>
          </w:p>
        </w:tc>
      </w:tr>
      <w:tr w14:paraId="038BA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6AA6B7FC">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18ED2EA4">
            <w:pPr>
              <w:spacing w:before="85"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人均年工资</w:t>
            </w:r>
          </w:p>
        </w:tc>
        <w:tc>
          <w:tcPr>
            <w:tcW w:w="3581" w:type="dxa"/>
          </w:tcPr>
          <w:p w14:paraId="5E23193A">
            <w:pPr>
              <w:spacing w:before="105" w:line="240" w:lineRule="auto"/>
              <w:ind w:left="3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p>
        </w:tc>
      </w:tr>
      <w:tr w14:paraId="194C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1EFE19C2">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152EE91E">
            <w:pPr>
              <w:spacing w:before="86"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工资额</w:t>
            </w:r>
          </w:p>
        </w:tc>
        <w:tc>
          <w:tcPr>
            <w:tcW w:w="3581" w:type="dxa"/>
          </w:tcPr>
          <w:p w14:paraId="43B1DBDF">
            <w:pPr>
              <w:spacing w:before="104" w:line="240" w:lineRule="auto"/>
              <w:ind w:left="24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378</w:t>
            </w:r>
          </w:p>
        </w:tc>
      </w:tr>
      <w:tr w14:paraId="5E628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319958B1">
            <w:pPr>
              <w:spacing w:before="105" w:line="240" w:lineRule="auto"/>
              <w:ind w:left="240"/>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p>
        </w:tc>
        <w:tc>
          <w:tcPr>
            <w:tcW w:w="2700" w:type="dxa"/>
          </w:tcPr>
          <w:p w14:paraId="62EC3CA4">
            <w:pPr>
              <w:spacing w:before="87" w:line="240" w:lineRule="auto"/>
              <w:ind w:left="2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维修人员</w:t>
            </w:r>
          </w:p>
        </w:tc>
        <w:tc>
          <w:tcPr>
            <w:tcW w:w="3581" w:type="dxa"/>
          </w:tcPr>
          <w:p w14:paraId="1BDF3E37">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64796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04EC19E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70A9FFAA">
            <w:pPr>
              <w:spacing w:before="88"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人数</w:t>
            </w:r>
          </w:p>
        </w:tc>
        <w:tc>
          <w:tcPr>
            <w:tcW w:w="3581" w:type="dxa"/>
          </w:tcPr>
          <w:p w14:paraId="44C213AB">
            <w:pPr>
              <w:spacing w:before="106" w:line="240" w:lineRule="auto"/>
              <w:ind w:left="29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11</w:t>
            </w:r>
          </w:p>
        </w:tc>
      </w:tr>
      <w:tr w14:paraId="2CA1D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21107D7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10A98D28">
            <w:pPr>
              <w:spacing w:before="89"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人均年工资</w:t>
            </w:r>
          </w:p>
        </w:tc>
        <w:tc>
          <w:tcPr>
            <w:tcW w:w="3581" w:type="dxa"/>
          </w:tcPr>
          <w:p w14:paraId="5398EBFB">
            <w:pPr>
              <w:spacing w:before="107" w:line="240" w:lineRule="auto"/>
              <w:ind w:left="328"/>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w:t>
            </w:r>
          </w:p>
        </w:tc>
      </w:tr>
      <w:tr w14:paraId="79106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5876EC06">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65497546">
            <w:pPr>
              <w:spacing w:before="89"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工资额</w:t>
            </w:r>
          </w:p>
        </w:tc>
        <w:tc>
          <w:tcPr>
            <w:tcW w:w="3581" w:type="dxa"/>
          </w:tcPr>
          <w:p w14:paraId="4E24E921">
            <w:pPr>
              <w:spacing w:before="107" w:line="240" w:lineRule="auto"/>
              <w:ind w:left="287"/>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88</w:t>
            </w:r>
          </w:p>
        </w:tc>
      </w:tr>
      <w:tr w14:paraId="469E7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04CB5D74">
            <w:pPr>
              <w:spacing w:before="108" w:line="240" w:lineRule="auto"/>
              <w:ind w:left="24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p>
        </w:tc>
        <w:tc>
          <w:tcPr>
            <w:tcW w:w="2700" w:type="dxa"/>
          </w:tcPr>
          <w:p w14:paraId="08CCDAB9">
            <w:pPr>
              <w:spacing w:before="90" w:line="240" w:lineRule="auto"/>
              <w:ind w:left="25"/>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管理人员</w:t>
            </w:r>
          </w:p>
        </w:tc>
        <w:tc>
          <w:tcPr>
            <w:tcW w:w="3581" w:type="dxa"/>
          </w:tcPr>
          <w:p w14:paraId="35EFABCC">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r>
      <w:tr w14:paraId="0C941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48D2BA24">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573BE080">
            <w:pPr>
              <w:spacing w:before="91"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人数</w:t>
            </w:r>
          </w:p>
        </w:tc>
        <w:tc>
          <w:tcPr>
            <w:tcW w:w="3581" w:type="dxa"/>
          </w:tcPr>
          <w:p w14:paraId="2F207E25">
            <w:pPr>
              <w:spacing w:before="109" w:line="240" w:lineRule="auto"/>
              <w:ind w:left="328"/>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w:t>
            </w:r>
          </w:p>
        </w:tc>
      </w:tr>
      <w:tr w14:paraId="195C7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2942125E">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66C7684D">
            <w:pPr>
              <w:spacing w:before="92"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人均年工资</w:t>
            </w:r>
          </w:p>
        </w:tc>
        <w:tc>
          <w:tcPr>
            <w:tcW w:w="3581" w:type="dxa"/>
          </w:tcPr>
          <w:p w14:paraId="0AF94F1B">
            <w:pPr>
              <w:spacing w:before="110" w:line="240" w:lineRule="auto"/>
              <w:ind w:left="296"/>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4"/>
                <w:sz w:val="24"/>
                <w:szCs w:val="24"/>
                <w14:textFill>
                  <w14:solidFill>
                    <w14:schemeClr w14:val="tx1"/>
                  </w14:solidFill>
                </w14:textFill>
              </w:rPr>
              <w:t>10</w:t>
            </w:r>
          </w:p>
        </w:tc>
      </w:tr>
      <w:tr w14:paraId="4DBB5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0C8D55B1">
            <w:pPr>
              <w:pStyle w:val="51"/>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2700" w:type="dxa"/>
          </w:tcPr>
          <w:p w14:paraId="251D262B">
            <w:pPr>
              <w:spacing w:before="93"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工资额</w:t>
            </w:r>
          </w:p>
        </w:tc>
        <w:tc>
          <w:tcPr>
            <w:tcW w:w="3581" w:type="dxa"/>
          </w:tcPr>
          <w:p w14:paraId="6A4E024E">
            <w:pPr>
              <w:spacing w:before="111" w:line="240" w:lineRule="auto"/>
              <w:ind w:left="287"/>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2"/>
                <w:sz w:val="24"/>
                <w:szCs w:val="24"/>
                <w14:textFill>
                  <w14:solidFill>
                    <w14:schemeClr w14:val="tx1"/>
                  </w14:solidFill>
                </w14:textFill>
              </w:rPr>
              <w:t>80</w:t>
            </w:r>
          </w:p>
        </w:tc>
      </w:tr>
      <w:tr w14:paraId="0321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27FED84F">
            <w:pPr>
              <w:spacing w:before="114" w:line="240" w:lineRule="auto"/>
              <w:ind w:left="24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p>
        </w:tc>
        <w:tc>
          <w:tcPr>
            <w:tcW w:w="2700" w:type="dxa"/>
          </w:tcPr>
          <w:p w14:paraId="76BD1C3F">
            <w:pPr>
              <w:spacing w:before="94" w:line="240" w:lineRule="auto"/>
              <w:ind w:left="2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工资总额</w:t>
            </w:r>
          </w:p>
        </w:tc>
        <w:tc>
          <w:tcPr>
            <w:tcW w:w="3581" w:type="dxa"/>
          </w:tcPr>
          <w:p w14:paraId="4FF19D03">
            <w:pPr>
              <w:spacing w:before="112" w:line="240" w:lineRule="auto"/>
              <w:ind w:left="24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546</w:t>
            </w:r>
          </w:p>
        </w:tc>
      </w:tr>
      <w:tr w14:paraId="34572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jc w:val="center"/>
        </w:trPr>
        <w:tc>
          <w:tcPr>
            <w:tcW w:w="1402" w:type="dxa"/>
          </w:tcPr>
          <w:p w14:paraId="346B34C9">
            <w:pPr>
              <w:spacing w:before="112" w:line="240" w:lineRule="auto"/>
              <w:ind w:left="24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p>
        </w:tc>
        <w:tc>
          <w:tcPr>
            <w:tcW w:w="2700" w:type="dxa"/>
          </w:tcPr>
          <w:p w14:paraId="0FD4C8A2">
            <w:pPr>
              <w:spacing w:before="94" w:line="240" w:lineRule="auto"/>
              <w:ind w:left="21"/>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福利费</w:t>
            </w:r>
          </w:p>
        </w:tc>
        <w:tc>
          <w:tcPr>
            <w:tcW w:w="3581" w:type="dxa"/>
          </w:tcPr>
          <w:p w14:paraId="7121AF83">
            <w:pPr>
              <w:spacing w:before="112" w:line="240" w:lineRule="auto"/>
              <w:ind w:left="15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76.44</w:t>
            </w:r>
          </w:p>
        </w:tc>
      </w:tr>
      <w:tr w14:paraId="42B38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jc w:val="center"/>
        </w:trPr>
        <w:tc>
          <w:tcPr>
            <w:tcW w:w="1402" w:type="dxa"/>
          </w:tcPr>
          <w:p w14:paraId="0F29D1BD">
            <w:pPr>
              <w:spacing w:before="115" w:line="240" w:lineRule="auto"/>
              <w:ind w:left="243"/>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p>
        </w:tc>
        <w:tc>
          <w:tcPr>
            <w:tcW w:w="2700" w:type="dxa"/>
          </w:tcPr>
          <w:p w14:paraId="525FEAAB">
            <w:pPr>
              <w:spacing w:before="95" w:line="240" w:lineRule="auto"/>
              <w:ind w:left="22"/>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
                <w:sz w:val="24"/>
                <w:szCs w:val="24"/>
                <w14:textFill>
                  <w14:solidFill>
                    <w14:schemeClr w14:val="tx1"/>
                  </w14:solidFill>
                </w14:textFill>
              </w:rPr>
              <w:t>合计</w:t>
            </w:r>
          </w:p>
        </w:tc>
        <w:tc>
          <w:tcPr>
            <w:tcW w:w="3581" w:type="dxa"/>
          </w:tcPr>
          <w:p w14:paraId="44BA8600">
            <w:pPr>
              <w:spacing w:before="113" w:line="240" w:lineRule="auto"/>
              <w:ind w:left="114"/>
              <w:jc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622.44</w:t>
            </w:r>
          </w:p>
        </w:tc>
      </w:tr>
    </w:tbl>
    <w:p w14:paraId="7D29EC5E">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修理维护费</w:t>
      </w:r>
    </w:p>
    <w:p w14:paraId="4C5DD293">
      <w:pPr>
        <w:ind w:firstLine="560" w:firstLineChars="200"/>
        <w:rPr>
          <w:rFonts w:hint="default" w:eastAsia="仿宋"/>
          <w:color w:val="000000" w:themeColor="text1"/>
          <w:szCs w:val="28"/>
          <w:lang w:val="en-US" w:eastAsia="zh-CN"/>
          <w14:textFill>
            <w14:solidFill>
              <w14:schemeClr w14:val="tx1"/>
            </w14:solidFill>
          </w14:textFill>
        </w:rPr>
      </w:pPr>
      <w:r>
        <w:rPr>
          <w:rFonts w:hint="eastAsia"/>
          <w:color w:val="000000" w:themeColor="text1"/>
          <w14:textFill>
            <w14:solidFill>
              <w14:schemeClr w14:val="tx1"/>
            </w14:solidFill>
          </w14:textFill>
        </w:rPr>
        <w:t>修理维修费按固定资产原值的2.16%计算，</w:t>
      </w:r>
      <w:r>
        <w:rPr>
          <w:rFonts w:hint="eastAsia"/>
          <w:color w:val="000000" w:themeColor="text1"/>
          <w:szCs w:val="28"/>
          <w14:textFill>
            <w14:solidFill>
              <w14:schemeClr w14:val="tx1"/>
            </w14:solidFill>
          </w14:textFill>
        </w:rPr>
        <w:t>税率按照6%计，</w:t>
      </w:r>
      <w:r>
        <w:rPr>
          <w:rFonts w:hint="eastAsia"/>
          <w:color w:val="000000" w:themeColor="text1"/>
          <w14:textFill>
            <w14:solidFill>
              <w14:schemeClr w14:val="tx1"/>
            </w14:solidFill>
          </w14:textFill>
        </w:rPr>
        <w:t>年均维修费</w:t>
      </w:r>
      <w:r>
        <w:rPr>
          <w:rFonts w:hint="eastAsia"/>
          <w:color w:val="000000" w:themeColor="text1"/>
          <w:szCs w:val="28"/>
          <w14:textFill>
            <w14:solidFill>
              <w14:schemeClr w14:val="tx1"/>
            </w14:solidFill>
          </w14:textFill>
        </w:rPr>
        <w:t>1006.71万元/年，折合34.48元/吨。</w:t>
      </w:r>
      <w:r>
        <w:rPr>
          <w:rFonts w:hint="eastAsia"/>
          <w:color w:val="000000" w:themeColor="text1"/>
          <w:szCs w:val="28"/>
          <w:lang w:val="en-US" w:eastAsia="zh-CN"/>
          <w14:textFill>
            <w14:solidFill>
              <w14:schemeClr w14:val="tx1"/>
            </w14:solidFill>
          </w14:textFill>
        </w:rPr>
        <w:t>本项目设备维护更换费用均已包含在此项费用中。</w:t>
      </w:r>
      <w:r>
        <w:rPr>
          <w:rFonts w:hint="eastAsia" w:ascii="Times New Roman" w:hAnsi="Times New Roman" w:eastAsia="仿宋" w:cs="Times New Roman"/>
          <w:color w:val="000000"/>
          <w:kern w:val="2"/>
          <w:sz w:val="28"/>
          <w:szCs w:val="28"/>
          <w:lang w:val="en-US" w:eastAsia="zh-CN" w:bidi="ar"/>
        </w:rPr>
        <w:t>若因政府方要求、环保政策要求及法律法规变更要求等原因，项目需提标改造或技术更新导致成本增加，届时由项目实施机构与项目公司协商解决</w:t>
      </w:r>
      <w:r>
        <w:rPr>
          <w:rFonts w:hint="eastAsia"/>
          <w:color w:val="000000" w:themeColor="text1"/>
          <w:szCs w:val="28"/>
          <w:lang w:val="en-US" w:eastAsia="zh-CN"/>
          <w14:textFill>
            <w14:solidFill>
              <w14:schemeClr w14:val="tx1"/>
            </w14:solidFill>
          </w14:textFill>
        </w:rPr>
        <w:t>。</w:t>
      </w:r>
    </w:p>
    <w:p w14:paraId="46643821">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其他管理费用</w:t>
      </w:r>
    </w:p>
    <w:p w14:paraId="0DCA24F4">
      <w:pPr>
        <w:ind w:firstLine="560" w:firstLineChars="200"/>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其他管理费用指项目运行期间的办公费、保险费用、差旅交际费、土地税费、印花税和车船使用税等以及环保宣传基金等均计入管理费用中，</w:t>
      </w:r>
      <w:r>
        <w:rPr>
          <w:rFonts w:hint="eastAsia"/>
          <w:color w:val="000000" w:themeColor="text1"/>
          <w:szCs w:val="28"/>
          <w14:textFill>
            <w14:solidFill>
              <w14:schemeClr w14:val="tx1"/>
            </w14:solidFill>
          </w14:textFill>
        </w:rPr>
        <w:t>税率按照6%计，</w:t>
      </w:r>
      <w:r>
        <w:rPr>
          <w:rFonts w:hint="eastAsia"/>
          <w:color w:val="000000" w:themeColor="text1"/>
          <w14:textFill>
            <w14:solidFill>
              <w14:schemeClr w14:val="tx1"/>
            </w14:solidFill>
          </w14:textFill>
        </w:rPr>
        <w:t>则</w:t>
      </w:r>
      <w:r>
        <w:rPr>
          <w:rFonts w:hint="eastAsia"/>
          <w:color w:val="000000" w:themeColor="text1"/>
          <w:szCs w:val="28"/>
          <w14:textFill>
            <w14:solidFill>
              <w14:schemeClr w14:val="tx1"/>
            </w14:solidFill>
          </w14:textFill>
        </w:rPr>
        <w:t>总成本</w:t>
      </w:r>
      <w:r>
        <w:rPr>
          <w:rFonts w:hint="eastAsia"/>
          <w:color w:val="000000" w:themeColor="text1"/>
          <w14:textFill>
            <w14:solidFill>
              <w14:schemeClr w14:val="tx1"/>
            </w14:solidFill>
          </w14:textFill>
        </w:rPr>
        <w:t>430.44万元/年，折合14.74</w:t>
      </w:r>
      <w:r>
        <w:rPr>
          <w:rFonts w:hint="eastAsia"/>
          <w:color w:val="000000" w:themeColor="text1"/>
          <w:szCs w:val="28"/>
          <w14:textFill>
            <w14:solidFill>
              <w14:schemeClr w14:val="tx1"/>
            </w14:solidFill>
          </w14:textFill>
        </w:rPr>
        <w:t>元/吨（不含税）。</w:t>
      </w:r>
    </w:p>
    <w:p w14:paraId="1EF86BC0">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总结</w:t>
      </w:r>
    </w:p>
    <w:p w14:paraId="3B4A66B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综上所述，本项目成本为153.36元/吨，38年总计169316.51万元，平均约为4455.69万元/年。</w:t>
      </w:r>
    </w:p>
    <w:p w14:paraId="305241C9">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经营成本明细表</w:t>
      </w:r>
    </w:p>
    <w:tbl>
      <w:tblPr>
        <w:tblStyle w:val="25"/>
        <w:tblW w:w="5000" w:type="pct"/>
        <w:jc w:val="center"/>
        <w:tblLayout w:type="autofit"/>
        <w:tblCellMar>
          <w:top w:w="0" w:type="dxa"/>
          <w:left w:w="108" w:type="dxa"/>
          <w:bottom w:w="0" w:type="dxa"/>
          <w:right w:w="108" w:type="dxa"/>
        </w:tblCellMar>
      </w:tblPr>
      <w:tblGrid>
        <w:gridCol w:w="767"/>
        <w:gridCol w:w="3736"/>
        <w:gridCol w:w="1948"/>
        <w:gridCol w:w="2071"/>
      </w:tblGrid>
      <w:tr w14:paraId="7FE4BBDD">
        <w:tblPrEx>
          <w:tblCellMar>
            <w:top w:w="0" w:type="dxa"/>
            <w:left w:w="108" w:type="dxa"/>
            <w:bottom w:w="0" w:type="dxa"/>
            <w:right w:w="108" w:type="dxa"/>
          </w:tblCellMar>
        </w:tblPrEx>
        <w:trPr>
          <w:trHeight w:val="285" w:hRule="atLeast"/>
          <w:jc w:val="center"/>
        </w:trPr>
        <w:tc>
          <w:tcPr>
            <w:tcW w:w="5000" w:type="pct"/>
            <w:gridSpan w:val="4"/>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noWrap/>
            <w:vAlign w:val="bottom"/>
          </w:tcPr>
          <w:p w14:paraId="5EB2794F">
            <w:pPr>
              <w:keepNext w:val="0"/>
              <w:keepLines w:val="0"/>
              <w:widowControl/>
              <w:suppressLineNumbers w:val="0"/>
              <w:spacing w:before="0" w:beforeAutospacing="0" w:after="0" w:afterAutospacing="0"/>
              <w:ind w:left="0" w:right="0"/>
              <w:jc w:val="center"/>
              <w:textAlignment w:val="bottom"/>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经营成本明细表</w:t>
            </w:r>
          </w:p>
        </w:tc>
      </w:tr>
      <w:tr w14:paraId="02706FE3">
        <w:tblPrEx>
          <w:tblCellMar>
            <w:top w:w="0" w:type="dxa"/>
            <w:left w:w="108" w:type="dxa"/>
            <w:bottom w:w="0" w:type="dxa"/>
            <w:right w:w="108" w:type="dxa"/>
          </w:tblCellMar>
        </w:tblPrEx>
        <w:trPr>
          <w:trHeight w:val="285" w:hRule="atLeast"/>
          <w:jc w:val="center"/>
        </w:trPr>
        <w:tc>
          <w:tcPr>
            <w:tcW w:w="450" w:type="pct"/>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noWrap/>
            <w:vAlign w:val="bottom"/>
          </w:tcPr>
          <w:p w14:paraId="05080A45">
            <w:pPr>
              <w:keepNext w:val="0"/>
              <w:keepLines w:val="0"/>
              <w:suppressLineNumbers w:val="0"/>
              <w:spacing w:before="0" w:beforeAutospacing="0" w:after="0" w:afterAutospacing="0"/>
              <w:ind w:left="0" w:right="0"/>
              <w:jc w:val="center"/>
              <w:rPr>
                <w:rFonts w:hint="eastAsia" w:ascii="仿宋" w:hAnsi="仿宋" w:cs="仿宋"/>
                <w:b/>
                <w:bCs/>
                <w:color w:val="000000" w:themeColor="text1"/>
                <w:sz w:val="24"/>
                <w:szCs w:val="24"/>
                <w14:textFill>
                  <w14:solidFill>
                    <w14:schemeClr w14:val="tx1"/>
                  </w14:solidFill>
                </w14:textFill>
              </w:rPr>
            </w:pPr>
            <w:r>
              <w:rPr>
                <w:rStyle w:val="67"/>
                <w:rFonts w:hint="eastAsia" w:ascii="仿宋" w:hAnsi="仿宋" w:eastAsia="仿宋" w:cs="仿宋"/>
                <w:b/>
                <w:bCs/>
                <w:color w:val="000000" w:themeColor="text1"/>
                <w:sz w:val="24"/>
                <w:szCs w:val="24"/>
                <w:lang w:bidi="ar"/>
                <w14:textFill>
                  <w14:solidFill>
                    <w14:schemeClr w14:val="tx1"/>
                  </w14:solidFill>
                </w14:textFill>
              </w:rPr>
              <w:t>序号</w:t>
            </w:r>
          </w:p>
        </w:tc>
        <w:tc>
          <w:tcPr>
            <w:tcW w:w="2192" w:type="pct"/>
            <w:tcBorders>
              <w:top w:val="single" w:color="000000" w:sz="4" w:space="0"/>
              <w:left w:val="single" w:color="000000" w:sz="4" w:space="0"/>
              <w:bottom w:val="single" w:color="000000" w:sz="4" w:space="0"/>
              <w:right w:val="single" w:color="000000" w:sz="4" w:space="0"/>
              <w:tl2br w:val="nil"/>
            </w:tcBorders>
            <w:shd w:val="clear" w:color="auto" w:fill="BDD6EE" w:themeFill="accent1" w:themeFillTint="66"/>
            <w:noWrap/>
            <w:vAlign w:val="bottom"/>
          </w:tcPr>
          <w:p w14:paraId="207EABA5">
            <w:pPr>
              <w:keepNext w:val="0"/>
              <w:keepLines w:val="0"/>
              <w:suppressLineNumbers w:val="0"/>
              <w:spacing w:before="0" w:beforeAutospacing="0" w:after="0" w:afterAutospacing="0"/>
              <w:ind w:left="0" w:right="0"/>
              <w:jc w:val="center"/>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项目</w:t>
            </w:r>
          </w:p>
        </w:tc>
        <w:tc>
          <w:tcPr>
            <w:tcW w:w="114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bottom"/>
          </w:tcPr>
          <w:p w14:paraId="368BA3B9">
            <w:pPr>
              <w:keepNext w:val="0"/>
              <w:keepLines w:val="0"/>
              <w:widowControl/>
              <w:suppressLineNumbers w:val="0"/>
              <w:spacing w:before="0" w:beforeAutospacing="0" w:after="0" w:afterAutospacing="0"/>
              <w:ind w:left="0" w:right="0"/>
              <w:jc w:val="center"/>
              <w:textAlignment w:val="bottom"/>
              <w:rPr>
                <w:rFonts w:hint="eastAsia" w:ascii="仿宋" w:hAnsi="仿宋" w:cs="仿宋"/>
                <w:b/>
                <w:bCs/>
                <w:color w:val="000000" w:themeColor="text1"/>
                <w:sz w:val="24"/>
                <w:szCs w:val="24"/>
                <w14:textFill>
                  <w14:solidFill>
                    <w14:schemeClr w14:val="tx1"/>
                  </w14:solidFill>
                </w14:textFill>
              </w:rPr>
            </w:pPr>
            <w:r>
              <w:rPr>
                <w:rFonts w:hint="eastAsia" w:ascii="仿宋" w:hAnsi="仿宋" w:cs="仿宋"/>
                <w:b/>
                <w:bCs/>
                <w:color w:val="000000" w:themeColor="text1"/>
                <w:kern w:val="0"/>
                <w:sz w:val="24"/>
                <w:szCs w:val="24"/>
                <w:lang w:bidi="ar"/>
                <w14:textFill>
                  <w14:solidFill>
                    <w14:schemeClr w14:val="tx1"/>
                  </w14:solidFill>
                </w14:textFill>
              </w:rPr>
              <w:t>元/吨（含税）</w:t>
            </w:r>
          </w:p>
        </w:tc>
        <w:tc>
          <w:tcPr>
            <w:tcW w:w="121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bottom"/>
          </w:tcPr>
          <w:p w14:paraId="2614AE53">
            <w:pPr>
              <w:keepNext w:val="0"/>
              <w:keepLines w:val="0"/>
              <w:widowControl/>
              <w:suppressLineNumbers w:val="0"/>
              <w:spacing w:before="0" w:beforeAutospacing="0" w:after="0" w:afterAutospacing="0"/>
              <w:ind w:left="0" w:right="0"/>
              <w:jc w:val="center"/>
              <w:textAlignment w:val="bottom"/>
              <w:rPr>
                <w:rFonts w:hint="eastAsia" w:ascii="仿宋" w:hAnsi="仿宋" w:cs="仿宋"/>
                <w:b/>
                <w:bCs/>
                <w:color w:val="000000" w:themeColor="text1"/>
                <w:kern w:val="0"/>
                <w:sz w:val="24"/>
                <w:szCs w:val="24"/>
                <w:lang w:bidi="ar"/>
                <w14:textFill>
                  <w14:solidFill>
                    <w14:schemeClr w14:val="tx1"/>
                  </w14:solidFill>
                </w14:textFill>
              </w:rPr>
            </w:pPr>
            <w:r>
              <w:rPr>
                <w:rFonts w:hint="eastAsia" w:ascii="仿宋" w:hAnsi="仿宋" w:cs="仿宋"/>
                <w:b/>
                <w:bCs/>
                <w:color w:val="000000" w:themeColor="text1"/>
                <w:sz w:val="24"/>
                <w:szCs w:val="24"/>
                <w14:textFill>
                  <w14:solidFill>
                    <w14:schemeClr w14:val="tx1"/>
                  </w14:solidFill>
                </w14:textFill>
              </w:rPr>
              <w:t>备注</w:t>
            </w:r>
          </w:p>
        </w:tc>
      </w:tr>
      <w:tr w14:paraId="2AB3C6B4">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8100C0">
            <w:pPr>
              <w:keepNext w:val="0"/>
              <w:keepLines w:val="0"/>
              <w:suppressLineNumbers w:val="0"/>
              <w:spacing w:before="0" w:beforeAutospacing="0" w:after="0" w:afterAutospacing="0"/>
              <w:ind w:left="0" w:right="0"/>
              <w:jc w:val="center"/>
              <w:rPr>
                <w:rStyle w:val="56"/>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A2D1">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外购原材料费</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E6F8">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29.30</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9708">
            <w:pPr>
              <w:keepNext w:val="0"/>
              <w:keepLines w:val="0"/>
              <w:widowControl/>
              <w:suppressLineNumbers w:val="0"/>
              <w:spacing w:before="0" w:beforeAutospacing="0" w:after="0" w:afterAutospacing="0"/>
              <w:ind w:left="0" w:right="0"/>
              <w:textAlignment w:val="bottom"/>
              <w:rPr>
                <w:rFonts w:hint="eastAsia" w:ascii="仿宋" w:hAnsi="仿宋" w:cs="仿宋"/>
                <w:color w:val="000000" w:themeColor="text1"/>
                <w:kern w:val="0"/>
                <w:sz w:val="24"/>
                <w:szCs w:val="24"/>
                <w:lang w:bidi="ar"/>
                <w14:textFill>
                  <w14:solidFill>
                    <w14:schemeClr w14:val="tx1"/>
                  </w14:solidFill>
                </w14:textFill>
              </w:rPr>
            </w:pPr>
          </w:p>
        </w:tc>
      </w:tr>
      <w:tr w14:paraId="4EC28317">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B517">
            <w:pPr>
              <w:keepNext w:val="0"/>
              <w:keepLines w:val="0"/>
              <w:widowControl/>
              <w:suppressLineNumbers w:val="0"/>
              <w:spacing w:before="0" w:beforeAutospacing="0" w:after="0" w:afterAutospacing="0"/>
              <w:ind w:left="0" w:right="0"/>
              <w:jc w:val="center"/>
              <w:textAlignment w:val="center"/>
              <w:rPr>
                <w:rStyle w:val="56"/>
                <w:rFonts w:hint="eastAsia" w:ascii="仿宋" w:hAnsi="仿宋" w:eastAsia="仿宋" w:cs="仿宋"/>
                <w:color w:val="000000" w:themeColor="text1"/>
                <w:sz w:val="24"/>
                <w:szCs w:val="24"/>
                <w:lang w:bidi="ar"/>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2</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1B0E">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外购燃料及动力费</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D0EA">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6.91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58E8">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p>
        </w:tc>
      </w:tr>
      <w:tr w14:paraId="78264C81">
        <w:tblPrEx>
          <w:tblCellMar>
            <w:top w:w="0" w:type="dxa"/>
            <w:left w:w="108" w:type="dxa"/>
            <w:bottom w:w="0" w:type="dxa"/>
            <w:right w:w="108" w:type="dxa"/>
          </w:tblCellMar>
        </w:tblPrEx>
        <w:trPr>
          <w:trHeight w:val="56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BE149">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3</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E7A1A">
            <w:pPr>
              <w:keepNext w:val="0"/>
              <w:keepLines w:val="0"/>
              <w:widowControl/>
              <w:suppressLineNumbers w:val="0"/>
              <w:spacing w:before="0" w:beforeAutospacing="0" w:after="0" w:afterAutospacing="0"/>
              <w:ind w:left="0" w:right="0" w:firstLine="240" w:firstLineChars="10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其他制造费用（渗沥液+工业水+飞灰运输+飞灰处置）</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DCFB">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46.07</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8976">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p>
        </w:tc>
      </w:tr>
      <w:tr w14:paraId="6E63AD83">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EC7E">
            <w:pPr>
              <w:keepNext w:val="0"/>
              <w:keepLines w:val="0"/>
              <w:widowControl/>
              <w:suppressLineNumbers w:val="0"/>
              <w:spacing w:before="0" w:beforeAutospacing="0" w:after="0" w:afterAutospacing="0"/>
              <w:ind w:left="0" w:right="0" w:firstLine="240" w:firstLineChars="100"/>
              <w:textAlignment w:val="center"/>
              <w:rPr>
                <w:rStyle w:val="56"/>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4</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92E4">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工资及福利费</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E4B4">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21.32</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D038">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固定成本</w:t>
            </w:r>
          </w:p>
        </w:tc>
      </w:tr>
      <w:tr w14:paraId="284643FA">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46B23">
            <w:pPr>
              <w:keepNext w:val="0"/>
              <w:keepLines w:val="0"/>
              <w:widowControl/>
              <w:suppressLineNumbers w:val="0"/>
              <w:spacing w:before="0" w:beforeAutospacing="0" w:after="0" w:afterAutospacing="0"/>
              <w:ind w:left="0" w:right="0"/>
              <w:jc w:val="center"/>
              <w:textAlignment w:val="center"/>
              <w:rPr>
                <w:rStyle w:val="56"/>
                <w:rFonts w:hint="eastAsia" w:ascii="仿宋" w:hAnsi="仿宋" w:eastAsia="仿宋" w:cs="仿宋"/>
                <w:color w:val="000000" w:themeColor="text1"/>
                <w:sz w:val="24"/>
                <w:szCs w:val="24"/>
                <w:lang w:bidi="ar"/>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5</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CA99">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修理费</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21DA">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34.48</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9E78">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固定成本</w:t>
            </w:r>
          </w:p>
        </w:tc>
      </w:tr>
      <w:tr w14:paraId="0C0809D8">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9441">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6</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518F">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环境检测费</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D3E3">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0.54</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6589">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固定成本</w:t>
            </w:r>
          </w:p>
        </w:tc>
      </w:tr>
      <w:tr w14:paraId="19CB2B60">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6B7A">
            <w:pPr>
              <w:keepNext w:val="0"/>
              <w:keepLines w:val="0"/>
              <w:widowControl/>
              <w:suppressLineNumbers w:val="0"/>
              <w:spacing w:before="0" w:beforeAutospacing="0" w:after="0" w:afterAutospacing="0"/>
              <w:ind w:left="0" w:right="0"/>
              <w:jc w:val="center"/>
              <w:textAlignment w:val="center"/>
              <w:rPr>
                <w:rStyle w:val="56"/>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7</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F027">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Style w:val="56"/>
                <w:rFonts w:hint="eastAsia" w:ascii="仿宋" w:hAnsi="仿宋" w:eastAsia="仿宋" w:cs="仿宋"/>
                <w:color w:val="000000" w:themeColor="text1"/>
                <w:sz w:val="24"/>
                <w:szCs w:val="24"/>
                <w:lang w:bidi="ar"/>
                <w14:textFill>
                  <w14:solidFill>
                    <w14:schemeClr w14:val="tx1"/>
                  </w14:solidFill>
                </w14:textFill>
              </w:rPr>
              <w:t>其他管理费用</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D0ED">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14.74</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D5E2">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p>
        </w:tc>
      </w:tr>
      <w:tr w14:paraId="22662AA0">
        <w:tblPrEx>
          <w:tblCellMar>
            <w:top w:w="0" w:type="dxa"/>
            <w:left w:w="108" w:type="dxa"/>
            <w:bottom w:w="0" w:type="dxa"/>
            <w:right w:w="108" w:type="dxa"/>
          </w:tblCellMar>
        </w:tblPrEx>
        <w:trPr>
          <w:trHeight w:val="330" w:hRule="atLeast"/>
          <w:jc w:val="center"/>
        </w:trPr>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C77C">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kern w:val="0"/>
                <w:sz w:val="24"/>
                <w:szCs w:val="24"/>
                <w:lang w:bidi="ar"/>
                <w14:textFill>
                  <w14:solidFill>
                    <w14:schemeClr w14:val="tx1"/>
                  </w14:solidFill>
                </w14:textFill>
              </w:rPr>
            </w:pP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B012">
            <w:pPr>
              <w:keepNext w:val="0"/>
              <w:keepLines w:val="0"/>
              <w:widowControl/>
              <w:suppressLineNumbers w:val="0"/>
              <w:spacing w:before="0" w:beforeAutospacing="0" w:after="0" w:afterAutospacing="0"/>
              <w:ind w:left="0" w:right="0"/>
              <w:jc w:val="center"/>
              <w:textAlignment w:val="center"/>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经营成本（</w:t>
            </w:r>
            <w:r>
              <w:rPr>
                <w:rStyle w:val="64"/>
                <w:rFonts w:hint="default" w:ascii="仿宋" w:hAnsi="仿宋" w:eastAsia="仿宋" w:cs="仿宋"/>
                <w:color w:val="000000" w:themeColor="text1"/>
                <w:sz w:val="24"/>
                <w:szCs w:val="24"/>
                <w:lang w:bidi="ar"/>
                <w14:textFill>
                  <w14:solidFill>
                    <w14:schemeClr w14:val="tx1"/>
                  </w14:solidFill>
                </w14:textFill>
              </w:rPr>
              <w:t>1+2+3+4+5+6+7</w:t>
            </w:r>
            <w:r>
              <w:rPr>
                <w:rFonts w:hint="eastAsia" w:ascii="仿宋" w:hAnsi="仿宋" w:cs="仿宋"/>
                <w:color w:val="000000" w:themeColor="text1"/>
                <w:kern w:val="0"/>
                <w:sz w:val="24"/>
                <w:szCs w:val="24"/>
                <w:lang w:bidi="ar"/>
                <w14:textFill>
                  <w14:solidFill>
                    <w14:schemeClr w14:val="tx1"/>
                  </w14:solidFill>
                </w14:textFill>
              </w:rPr>
              <w:t>）</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7C13">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kern w:val="0"/>
                <w:sz w:val="24"/>
                <w:szCs w:val="24"/>
                <w:lang w:bidi="ar"/>
                <w14:textFill>
                  <w14:solidFill>
                    <w14:schemeClr w14:val="tx1"/>
                  </w14:solidFill>
                </w14:textFill>
              </w:rPr>
              <w:t>153.36</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E76D">
            <w:pPr>
              <w:keepNext w:val="0"/>
              <w:keepLines w:val="0"/>
              <w:widowControl/>
              <w:suppressLineNumbers w:val="0"/>
              <w:spacing w:before="0" w:beforeAutospacing="0" w:after="0" w:afterAutospacing="0"/>
              <w:ind w:left="0" w:right="0"/>
              <w:jc w:val="center"/>
              <w:textAlignment w:val="bottom"/>
              <w:rPr>
                <w:rFonts w:hint="eastAsia" w:ascii="仿宋" w:hAnsi="仿宋" w:cs="仿宋"/>
                <w:color w:val="000000" w:themeColor="text1"/>
                <w:kern w:val="0"/>
                <w:sz w:val="24"/>
                <w:szCs w:val="24"/>
                <w:lang w:bidi="ar"/>
                <w14:textFill>
                  <w14:solidFill>
                    <w14:schemeClr w14:val="tx1"/>
                  </w14:solidFill>
                </w14:textFill>
              </w:rPr>
            </w:pPr>
          </w:p>
        </w:tc>
      </w:tr>
    </w:tbl>
    <w:p w14:paraId="447DF080">
      <w:pPr>
        <w:pStyle w:val="6"/>
        <w:numPr>
          <w:ilvl w:val="3"/>
          <w:numId w:val="61"/>
        </w:numPr>
        <w:spacing w:before="156" w:after="156"/>
        <w:rPr>
          <w:color w:val="000000" w:themeColor="text1"/>
          <w14:textFill>
            <w14:solidFill>
              <w14:schemeClr w14:val="tx1"/>
            </w14:solidFill>
          </w14:textFill>
        </w:rPr>
      </w:pPr>
      <w:bookmarkStart w:id="314" w:name="_Toc28906"/>
      <w:r>
        <w:rPr>
          <w:color w:val="000000" w:themeColor="text1"/>
          <w14:textFill>
            <w14:solidFill>
              <w14:schemeClr w14:val="tx1"/>
            </w14:solidFill>
          </w14:textFill>
        </w:rPr>
        <w:t>财务分析其他边界条件</w:t>
      </w:r>
      <w:bookmarkEnd w:id="314"/>
    </w:p>
    <w:p w14:paraId="2E803711">
      <w:pPr>
        <w:pStyle w:val="7"/>
        <w:ind w:firstLine="56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无形资产</w:t>
      </w:r>
      <w:r>
        <w:rPr>
          <w:color w:val="000000" w:themeColor="text1"/>
          <w14:textFill>
            <w14:solidFill>
              <w14:schemeClr w14:val="tx1"/>
            </w14:solidFill>
          </w14:textFill>
        </w:rPr>
        <w:t>摊销</w:t>
      </w:r>
    </w:p>
    <w:p w14:paraId="7B7CD2E5">
      <w:pPr>
        <w:ind w:firstLine="560" w:firstLineChars="200"/>
        <w:rPr>
          <w:color w:val="000000" w:themeColor="text1"/>
          <w14:textFill>
            <w14:solidFill>
              <w14:schemeClr w14:val="tx1"/>
            </w14:solidFill>
          </w14:textFill>
        </w:rPr>
      </w:pPr>
      <w:bookmarkStart w:id="315" w:name="OLE_LINK6"/>
      <w:r>
        <w:rPr>
          <w:rFonts w:hint="eastAsia"/>
          <w:color w:val="000000" w:themeColor="text1"/>
          <w14:textFill>
            <w14:solidFill>
              <w14:schemeClr w14:val="tx1"/>
            </w14:solidFill>
          </w14:textFill>
        </w:rPr>
        <w:t>本项目属于特许经营项目，项目公司</w:t>
      </w:r>
      <w:r>
        <w:rPr>
          <w:rFonts w:hint="eastAsia"/>
          <w:color w:val="000000" w:themeColor="text1"/>
          <w:lang w:val="en-US" w:eastAsia="zh-CN"/>
          <w14:textFill>
            <w14:solidFill>
              <w14:schemeClr w14:val="tx1"/>
            </w14:solidFill>
          </w14:textFill>
        </w:rPr>
        <w:t>相关权益</w:t>
      </w:r>
      <w:r>
        <w:rPr>
          <w:rFonts w:hint="eastAsia"/>
          <w:color w:val="000000" w:themeColor="text1"/>
          <w14:textFill>
            <w14:solidFill>
              <w14:schemeClr w14:val="tx1"/>
            </w14:solidFill>
          </w14:textFill>
        </w:rPr>
        <w:t>做为无形资产核算，本项目无形资产摊销采用平均年限法计提，摊销年限同项目运营期限，不计残值。</w:t>
      </w:r>
    </w:p>
    <w:bookmarkEnd w:id="315"/>
    <w:p w14:paraId="6B54FC0A">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适用税费</w:t>
      </w:r>
    </w:p>
    <w:p w14:paraId="3655F9D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根据财政部、国家税务总局《关于全面推开营业税改征增值税试点的通知》（财税〔2016〕36号）、《关于深化增值税改革有关政策的公告》（财政部税务总局海关总署公告2019年第39号）等相关规定计税。</w:t>
      </w:r>
    </w:p>
    <w:p w14:paraId="1B5F018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财政部、国家税务总局《关于全面推开营业税改征增值税试点的通知》（财税〔2016〕36号）及《关于调整增值税税率的通知》（财税〔2018〕32号）的规定，项目公司只能按一般纳税人采用一般计税方式，收入按扣除增值税后收入计算。并根据《关于深化增值税改革有关政策的公告》（财政部税务总局海关总署公告2019年第39号）的规定，增值税一般纳税人原适用16%税率的，税率调整为13%；原适用10%税率的，税率调整为9%。</w:t>
      </w:r>
    </w:p>
    <w:p w14:paraId="26CA700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项目建设过程中，增值税进项税计算暂按照：工程建安费9%、设备购置费13%、工程建设其他费用6%、预备费9%计。</w:t>
      </w:r>
    </w:p>
    <w:p w14:paraId="3F37E00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项目运营过程中，增值税进项税计算按照：外购辅料费13%、柴油费13%，动力费9%、其他处理费用13%、环境监测及调查分析费6%、修理费6%、其他管理费用6%计。</w:t>
      </w:r>
    </w:p>
    <w:p w14:paraId="5D997A0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w:t>
      </w:r>
      <w:r>
        <w:rPr>
          <w:color w:val="000000" w:themeColor="text1"/>
          <w14:textFill>
            <w14:solidFill>
              <w14:schemeClr w14:val="tx1"/>
            </w14:solidFill>
          </w14:textFill>
        </w:rPr>
        <w:t>增值税附加按12%（城市维护建设税7%，教育费附加3%，地方教育费附加2%）计算。</w:t>
      </w:r>
    </w:p>
    <w:p w14:paraId="63EC2FF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根据税收法律规定，本项目企业所得税按25%计算。《企业所得税法》规定企业纳税年度发生的亏损，准予向以后年度结转，用以后年度的所得弥补，但结转年限最长不得超过五年。</w:t>
      </w:r>
    </w:p>
    <w:p w14:paraId="76F82DF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根据《企业财务通则（2006年修订）》，每年按净利润扣减弥补以前年度亏损后的10%提取法定公积金，法定公积金累计额达到注册资本50%以后，可以不再提取。</w:t>
      </w:r>
    </w:p>
    <w:p w14:paraId="2A08D29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房产税与土地使用税等税费均由项目公司负责支付。</w:t>
      </w:r>
    </w:p>
    <w:p w14:paraId="2F83038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其他税种如印花税等金额较小暂不计。</w:t>
      </w:r>
    </w:p>
    <w:p w14:paraId="502B3FB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同时依据《资源综合利用产品和劳务增值税优惠目录（2022年版）》，垃圾处理属于资源综合利用劳务，在本次测算中，发电收入增值税100%即征即退，其余收入70%即征即退。且所得税享三免三减半政策优惠。</w:t>
      </w:r>
    </w:p>
    <w:p w14:paraId="26390C81">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贷款偿还</w:t>
      </w:r>
    </w:p>
    <w:p w14:paraId="75A1785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期为</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年，贷款额占总投资的80%</w:t>
      </w:r>
      <w:r>
        <w:rPr>
          <w:rFonts w:hint="eastAsia"/>
          <w:color w:val="000000" w:themeColor="text1"/>
          <w14:textFill>
            <w14:solidFill>
              <w14:schemeClr w14:val="tx1"/>
            </w14:solidFill>
          </w14:textFill>
        </w:rPr>
        <w:t>，分年度贷款比例为40%、60%，</w:t>
      </w:r>
      <w:r>
        <w:rPr>
          <w:rFonts w:hint="eastAsia"/>
          <w:color w:val="000000" w:themeColor="text1"/>
          <w:lang w:val="en-US" w:eastAsia="zh-CN"/>
          <w14:textFill>
            <w14:solidFill>
              <w14:schemeClr w14:val="tx1"/>
            </w14:solidFill>
          </w14:textFill>
        </w:rPr>
        <w:t>按照最新LPR数据，暂</w:t>
      </w:r>
      <w:r>
        <w:rPr>
          <w:rFonts w:hint="eastAsia"/>
          <w:color w:val="000000" w:themeColor="text1"/>
          <w14:textFill>
            <w14:solidFill>
              <w14:schemeClr w14:val="tx1"/>
            </w14:solidFill>
          </w14:textFill>
        </w:rPr>
        <w:t>设定项目的基准利率为3.</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贷款</w:t>
      </w:r>
      <w:r>
        <w:rPr>
          <w:rFonts w:hint="eastAsia"/>
          <w:color w:val="000000" w:themeColor="text1"/>
          <w14:textFill>
            <w14:solidFill>
              <w14:schemeClr w14:val="tx1"/>
            </w14:solidFill>
          </w14:textFill>
        </w:rPr>
        <w:t>期</w:t>
      </w:r>
      <w:r>
        <w:rPr>
          <w:rFonts w:hint="eastAsia"/>
          <w:color w:val="000000" w:themeColor="text1"/>
          <w:lang w:val="en-US" w:eastAsia="zh-CN"/>
          <w14:textFill>
            <w14:solidFill>
              <w14:schemeClr w14:val="tx1"/>
            </w14:solidFill>
          </w14:textFill>
        </w:rPr>
        <w:t>32</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宽限期2年，</w:t>
      </w:r>
      <w:r>
        <w:rPr>
          <w:rFonts w:ascii="仿宋" w:hAnsi="仿宋" w:cs="仿宋"/>
          <w:color w:val="000000" w:themeColor="text1"/>
          <w:spacing w:val="-1"/>
          <w:szCs w:val="28"/>
          <w14:textFill>
            <w14:solidFill>
              <w14:schemeClr w14:val="tx1"/>
            </w14:solidFill>
          </w14:textFill>
        </w:rPr>
        <w:t>还款方式为等额本息。</w:t>
      </w:r>
    </w:p>
    <w:p w14:paraId="4E92ACBF">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政府补贴支持情况</w:t>
      </w:r>
    </w:p>
    <w:p w14:paraId="3ED22661">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包头市人民政府办公室关于印发生活垃圾处理运行补贴标准的通知》（包府办发〔2025〕80号）“本项目炉排炉工艺处理补贴最高不超过170元/吨（不含收运）”，故本方案暂按照170元/吨为上限计算垃圾处理运行补贴费用，具体价格以招标结果为准，本补贴仅用于补贴运营，不补贴建设。同时根据《包头市发展和改革委员会 包头市城市管理局关于包头市主城区生活垃圾处理费标准的通知》（包发改价费字〔2025〕749号）《包头市人民政府办公室关于印发包头市城镇生活垃圾处理费收费管理办法的通知》（包府办发〔2026〕4号）“包头市主城区（昆区、青山区、东河区、九原区、石拐新区）行政区域内所有产生城镇生活垃圾的国家机关、企事业单位、个体经营者、城镇居民等，均应按规定缴纳生活垃圾处理费”规定，本项目垃圾处理运行补贴来源为居民与非居民缴纳的垃圾处理费，故本项目穿透来看为使用者付费项目。</w:t>
      </w:r>
    </w:p>
    <w:p w14:paraId="198BD5D9">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定价及调价机制</w:t>
      </w:r>
    </w:p>
    <w:p w14:paraId="2497A539">
      <w:pPr>
        <w:pStyle w:val="14"/>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本项目的经营收入主要包括</w:t>
      </w:r>
      <w:r>
        <w:rPr>
          <w:rFonts w:hint="eastAsia"/>
          <w:color w:val="000000" w:themeColor="text1"/>
          <w14:textFill>
            <w14:solidFill>
              <w14:schemeClr w14:val="tx1"/>
            </w14:solidFill>
          </w14:textFill>
        </w:rPr>
        <w:t>垃圾处理</w:t>
      </w:r>
      <w:r>
        <w:rPr>
          <w:rFonts w:hint="eastAsia"/>
          <w:color w:val="000000" w:themeColor="text1"/>
          <w:lang w:val="en-US" w:eastAsia="zh-CN"/>
          <w14:textFill>
            <w14:solidFill>
              <w14:schemeClr w14:val="tx1"/>
            </w14:solidFill>
          </w14:textFill>
        </w:rPr>
        <w:t>运行补贴</w:t>
      </w:r>
      <w:r>
        <w:rPr>
          <w:rFonts w:hint="eastAsia"/>
          <w:color w:val="000000" w:themeColor="text1"/>
          <w14:textFill>
            <w14:solidFill>
              <w14:schemeClr w14:val="tx1"/>
            </w14:solidFill>
          </w14:textFill>
        </w:rPr>
        <w:t>及上网发电收入。</w:t>
      </w:r>
    </w:p>
    <w:p w14:paraId="68AA48CE">
      <w:pPr>
        <w:pStyle w:val="8"/>
        <w:rPr>
          <w:color w:val="000000" w:themeColor="text1"/>
          <w14:textFill>
            <w14:solidFill>
              <w14:schemeClr w14:val="tx1"/>
            </w14:solidFill>
          </w14:textFill>
        </w:rPr>
      </w:pPr>
      <w:r>
        <w:rPr>
          <w:color w:val="000000" w:themeColor="text1"/>
          <w14:textFill>
            <w14:solidFill>
              <w14:schemeClr w14:val="tx1"/>
            </w14:solidFill>
          </w14:textFill>
        </w:rPr>
        <w:t>定价机制</w:t>
      </w:r>
    </w:p>
    <w:p w14:paraId="1876DE9F">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本方案垃圾处理运行补贴上限为170元/吨，最终以招标结果及特许经营协议为准。</w:t>
      </w:r>
    </w:p>
    <w:p w14:paraId="196BC263">
      <w:pPr>
        <w:pStyle w:val="8"/>
        <w:rPr>
          <w:color w:val="000000" w:themeColor="text1"/>
          <w14:textFill>
            <w14:solidFill>
              <w14:schemeClr w14:val="tx1"/>
            </w14:solidFill>
          </w14:textFill>
        </w:rPr>
      </w:pPr>
      <w:r>
        <w:rPr>
          <w:color w:val="000000" w:themeColor="text1"/>
          <w14:textFill>
            <w14:solidFill>
              <w14:schemeClr w14:val="tx1"/>
            </w14:solidFill>
          </w14:textFill>
        </w:rPr>
        <w:t>调价机制</w:t>
      </w:r>
    </w:p>
    <w:p w14:paraId="560D04D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针对政府定价或物价部门指导价格的，在项目运营期间，因通货膨胀情况或原材料价格上涨（主要是指人工、电费、水费、税费等）导致运营成本增加或降低，则设定相应的调价机制，确保项目的正常运营。在运营期内以每三年为一个周期，若前述调整因素中的一项或者多项成本变动幅度超过</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%，可以申请调整物价部门的指导价格。</w:t>
      </w:r>
    </w:p>
    <w:p w14:paraId="4C807544">
      <w:pPr>
        <w:rPr>
          <w:color w:val="000000" w:themeColor="text1"/>
          <w14:textFill>
            <w14:solidFill>
              <w14:schemeClr w14:val="tx1"/>
            </w14:solidFill>
          </w14:textFill>
        </w:rPr>
      </w:pPr>
      <w:r>
        <w:rPr>
          <w:color w:val="000000" w:themeColor="text1"/>
          <w14:textFill>
            <w14:solidFill>
              <w14:schemeClr w14:val="tx1"/>
            </w14:solidFill>
          </w14:textFill>
        </w:rPr>
        <w:t>如运营成本增加因素触发的调价机制，则由项目公司可向项目实施机构提起申请，由项目实施机构审核后提请政府相关部门确认是否调价，并按照本级政府相关的调价程序为准。如运营成本降低触发的调价机制，由项目实施机构提请调价并报政府相关部门审核确认，按照相关调价程序执行</w:t>
      </w:r>
      <w:r>
        <w:rPr>
          <w:rFonts w:hint="eastAsia"/>
          <w:color w:val="000000" w:themeColor="text1"/>
          <w14:textFill>
            <w14:solidFill>
              <w14:schemeClr w14:val="tx1"/>
            </w14:solidFill>
          </w14:textFill>
        </w:rPr>
        <w:t>。</w:t>
      </w:r>
    </w:p>
    <w:p w14:paraId="771F8984">
      <w:pPr>
        <w:pStyle w:val="6"/>
        <w:numPr>
          <w:ilvl w:val="3"/>
          <w:numId w:val="61"/>
        </w:numPr>
        <w:spacing w:before="156" w:after="156"/>
        <w:rPr>
          <w:color w:val="000000" w:themeColor="text1"/>
          <w14:textFill>
            <w14:solidFill>
              <w14:schemeClr w14:val="tx1"/>
            </w14:solidFill>
          </w14:textFill>
        </w:rPr>
      </w:pPr>
      <w:bookmarkStart w:id="316" w:name="_Toc2456"/>
      <w:r>
        <w:rPr>
          <w:rFonts w:hint="eastAsia"/>
          <w:color w:val="000000" w:themeColor="text1"/>
          <w14:textFill>
            <w14:solidFill>
              <w14:schemeClr w14:val="tx1"/>
            </w14:solidFill>
          </w14:textFill>
        </w:rPr>
        <w:t>项目运营收入</w:t>
      </w:r>
      <w:bookmarkEnd w:id="316"/>
    </w:p>
    <w:p w14:paraId="0FEB88A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特许</w:t>
      </w:r>
      <w:r>
        <w:rPr>
          <w:color w:val="000000" w:themeColor="text1"/>
          <w14:textFill>
            <w14:solidFill>
              <w14:schemeClr w14:val="tx1"/>
            </w14:solidFill>
          </w14:textFill>
        </w:rPr>
        <w:t>经营期暂按</w:t>
      </w:r>
      <w:r>
        <w:rPr>
          <w:rFonts w:hint="eastAsia"/>
          <w:color w:val="000000" w:themeColor="text1"/>
          <w14:textFill>
            <w14:solidFill>
              <w14:schemeClr w14:val="tx1"/>
            </w14:solidFill>
          </w14:textFill>
        </w:rPr>
        <w:t>40</w:t>
      </w:r>
      <w:r>
        <w:rPr>
          <w:color w:val="000000" w:themeColor="text1"/>
          <w14:textFill>
            <w14:solidFill>
              <w14:schemeClr w14:val="tx1"/>
            </w14:solidFill>
          </w14:textFill>
        </w:rPr>
        <w:t>年计算，其中</w:t>
      </w:r>
      <w:r>
        <w:rPr>
          <w:rFonts w:hint="eastAsia"/>
          <w:color w:val="000000" w:themeColor="text1"/>
          <w14:textFill>
            <w14:solidFill>
              <w14:schemeClr w14:val="tx1"/>
            </w14:solidFill>
          </w14:textFill>
        </w:rPr>
        <w:t>建设期2年，运营期38年</w:t>
      </w:r>
      <w:r>
        <w:rPr>
          <w:color w:val="000000" w:themeColor="text1"/>
          <w14:textFill>
            <w14:solidFill>
              <w14:schemeClr w14:val="tx1"/>
            </w14:solidFill>
          </w14:textFill>
        </w:rPr>
        <w:t>，本次财务分析按照收费期</w:t>
      </w:r>
      <w:r>
        <w:rPr>
          <w:rFonts w:hint="eastAsia"/>
          <w:color w:val="000000" w:themeColor="text1"/>
          <w14:textFill>
            <w14:solidFill>
              <w14:schemeClr w14:val="tx1"/>
            </w14:solidFill>
          </w14:textFill>
        </w:rPr>
        <w:t>38</w:t>
      </w:r>
      <w:r>
        <w:rPr>
          <w:color w:val="000000" w:themeColor="text1"/>
          <w14:textFill>
            <w14:solidFill>
              <w14:schemeClr w14:val="tx1"/>
            </w14:solidFill>
          </w14:textFill>
        </w:rPr>
        <w:t>年计算</w:t>
      </w:r>
      <w:r>
        <w:rPr>
          <w:rFonts w:hint="eastAsia"/>
          <w:color w:val="000000" w:themeColor="text1"/>
          <w14:textFill>
            <w14:solidFill>
              <w14:schemeClr w14:val="tx1"/>
            </w14:solidFill>
          </w14:textFill>
        </w:rPr>
        <w:t>。本项目以垃圾进场为节点开始对项目公司予以收费计量。</w:t>
      </w:r>
    </w:p>
    <w:p w14:paraId="59E69109">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使用者付费</w:t>
      </w:r>
    </w:p>
    <w:p w14:paraId="27C00C65">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本项目使用者付费来源为垃圾处理运行补贴及上网发电收入。</w:t>
      </w:r>
    </w:p>
    <w:p w14:paraId="7D56F7B5">
      <w:pPr>
        <w:pStyle w:val="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垃圾运行补贴</w:t>
      </w:r>
      <w:r>
        <w:rPr>
          <w:rFonts w:hint="eastAsia"/>
          <w:color w:val="000000" w:themeColor="text1"/>
          <w14:textFill>
            <w14:solidFill>
              <w14:schemeClr w14:val="tx1"/>
            </w14:solidFill>
          </w14:textFill>
        </w:rPr>
        <w:t>总金额</w:t>
      </w:r>
    </w:p>
    <w:p w14:paraId="3DF30BE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每吨垃圾处理费170元进行计算，每年需支付给项目公司的垃圾处理费为800*365*170=4964万元，根据包头市城市管理局提供的数据，包头市主城区约有927077户居民，在每户每月收费5元，收缴率为90%的情况下，未来每年能够收取5006.21万元垃圾处理服务费。包头市主城区约有99400户非居民，按照每户每年</w:t>
      </w:r>
      <w:r>
        <w:rPr>
          <w:rFonts w:hint="eastAsia"/>
          <w:color w:val="000000" w:themeColor="text1"/>
          <w:lang w:val="en-US" w:eastAsia="zh-CN"/>
          <w14:textFill>
            <w14:solidFill>
              <w14:schemeClr w14:val="tx1"/>
            </w14:solidFill>
          </w14:textFill>
        </w:rPr>
        <w:t>平均</w:t>
      </w:r>
      <w:r>
        <w:rPr>
          <w:rFonts w:hint="eastAsia"/>
          <w:color w:val="000000" w:themeColor="text1"/>
          <w14:textFill>
            <w14:solidFill>
              <w14:schemeClr w14:val="tx1"/>
            </w14:solidFill>
          </w14:textFill>
        </w:rPr>
        <w:t>收费300元，收缴率为90%计算，未来每年能够收取2683.80万元垃圾处理服务费。则本项目居民和非居民方垃圾处理服务费未来每年合计收费约7690.01万元，居民与非居民收费可以覆盖本项目</w:t>
      </w:r>
      <w:r>
        <w:rPr>
          <w:rFonts w:hint="eastAsia"/>
          <w:color w:val="000000" w:themeColor="text1"/>
          <w:lang w:val="en-US" w:eastAsia="zh-CN"/>
          <w14:textFill>
            <w14:solidFill>
              <w14:schemeClr w14:val="tx1"/>
            </w14:solidFill>
          </w14:textFill>
        </w:rPr>
        <w:t>垃圾处理运行补贴费用</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满足</w:t>
      </w:r>
      <w:r>
        <w:rPr>
          <w:rFonts w:hint="eastAsia"/>
          <w:color w:val="000000" w:themeColor="text1"/>
          <w14:textFill>
            <w14:solidFill>
              <w14:schemeClr w14:val="tx1"/>
            </w14:solidFill>
          </w14:textFill>
        </w:rPr>
        <w:t>使用者付费</w:t>
      </w:r>
      <w:r>
        <w:rPr>
          <w:rFonts w:hint="eastAsia"/>
          <w:color w:val="000000" w:themeColor="text1"/>
          <w:lang w:val="en-US" w:eastAsia="zh-CN"/>
          <w14:textFill>
            <w14:solidFill>
              <w14:schemeClr w14:val="tx1"/>
            </w14:solidFill>
          </w14:textFill>
        </w:rPr>
        <w:t>要求</w:t>
      </w:r>
      <w:r>
        <w:rPr>
          <w:rFonts w:hint="eastAsia"/>
          <w:color w:val="000000" w:themeColor="text1"/>
          <w14:textFill>
            <w14:solidFill>
              <w14:schemeClr w14:val="tx1"/>
            </w14:solidFill>
          </w14:textFill>
        </w:rPr>
        <w:t>。</w:t>
      </w:r>
    </w:p>
    <w:p w14:paraId="301BF4AF">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上网发电收入</w:t>
      </w:r>
    </w:p>
    <w:p w14:paraId="3B86A2A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提供的技术文件，本项目日处理垃圾量为800吨，年处理天数按照365天计算，则年处理垃圾量为29.2万吨。本项目运营期内垃圾上网电量总计3</w:t>
      </w:r>
      <w:r>
        <w:rPr>
          <w:rFonts w:hint="eastAsia"/>
          <w:color w:val="000000" w:themeColor="text1"/>
          <w:lang w:val="en-US" w:eastAsia="zh-CN"/>
          <w14:textFill>
            <w14:solidFill>
              <w14:schemeClr w14:val="tx1"/>
            </w14:solidFill>
          </w14:textFill>
        </w:rPr>
        <w:t>61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671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万kW·h。</w:t>
      </w:r>
    </w:p>
    <w:p w14:paraId="34AADAF9">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年度上网发电量计算表</w:t>
      </w:r>
    </w:p>
    <w:tbl>
      <w:tblPr>
        <w:tblStyle w:val="25"/>
        <w:tblW w:w="50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8"/>
        <w:gridCol w:w="1500"/>
        <w:gridCol w:w="1937"/>
        <w:gridCol w:w="1800"/>
        <w:gridCol w:w="2287"/>
      </w:tblGrid>
      <w:tr w14:paraId="779A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46" w:type="pct"/>
            <w:shd w:val="clear" w:color="auto" w:fill="BDD6EE" w:themeFill="accent1" w:themeFillTint="66"/>
            <w:noWrap/>
            <w:vAlign w:val="center"/>
          </w:tcPr>
          <w:p w14:paraId="3923FD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年份</w:t>
            </w:r>
          </w:p>
        </w:tc>
        <w:tc>
          <w:tcPr>
            <w:tcW w:w="867" w:type="pct"/>
            <w:shd w:val="clear" w:color="auto" w:fill="BDD6EE" w:themeFill="accent1" w:themeFillTint="66"/>
            <w:noWrap/>
            <w:vAlign w:val="center"/>
          </w:tcPr>
          <w:p w14:paraId="29C6A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热值（kJ/kg）</w:t>
            </w:r>
          </w:p>
        </w:tc>
        <w:tc>
          <w:tcPr>
            <w:tcW w:w="1120" w:type="pct"/>
            <w:shd w:val="clear" w:color="auto" w:fill="BDD6EE" w:themeFill="accent1" w:themeFillTint="66"/>
            <w:noWrap/>
            <w:vAlign w:val="center"/>
          </w:tcPr>
          <w:p w14:paraId="5450B0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吨发电量（kWh）</w:t>
            </w:r>
          </w:p>
        </w:tc>
        <w:tc>
          <w:tcPr>
            <w:tcW w:w="1041" w:type="pct"/>
            <w:shd w:val="clear" w:color="auto" w:fill="BDD6EE" w:themeFill="accent1" w:themeFillTint="66"/>
            <w:noWrap/>
            <w:vAlign w:val="center"/>
          </w:tcPr>
          <w:p w14:paraId="2A71B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吨上网量（kWh）</w:t>
            </w:r>
          </w:p>
        </w:tc>
        <w:tc>
          <w:tcPr>
            <w:tcW w:w="1323" w:type="pct"/>
            <w:shd w:val="clear" w:color="auto" w:fill="BDD6EE" w:themeFill="accent1" w:themeFillTint="66"/>
            <w:noWrap/>
            <w:vAlign w:val="center"/>
          </w:tcPr>
          <w:p w14:paraId="23B5C721">
            <w:pPr>
              <w:keepNext w:val="0"/>
              <w:keepLines w:val="0"/>
              <w:suppressLineNumbers w:val="0"/>
              <w:spacing w:before="0" w:beforeAutospacing="0" w:after="0" w:afterAutospacing="0"/>
              <w:ind w:left="0" w:right="0"/>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年上网电量（万kWh）</w:t>
            </w:r>
          </w:p>
        </w:tc>
      </w:tr>
      <w:tr w14:paraId="501C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pct"/>
            <w:shd w:val="clear" w:color="auto" w:fill="auto"/>
            <w:noWrap/>
            <w:vAlign w:val="center"/>
          </w:tcPr>
          <w:p w14:paraId="54D50C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867" w:type="pct"/>
            <w:shd w:val="clear" w:color="auto" w:fill="auto"/>
            <w:noWrap/>
            <w:vAlign w:val="center"/>
          </w:tcPr>
          <w:p w14:paraId="380F1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5950</w:t>
            </w:r>
          </w:p>
        </w:tc>
        <w:tc>
          <w:tcPr>
            <w:tcW w:w="1120" w:type="pct"/>
            <w:shd w:val="clear" w:color="auto" w:fill="auto"/>
            <w:noWrap/>
            <w:vAlign w:val="center"/>
          </w:tcPr>
          <w:p w14:paraId="1E6CA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345</w:t>
            </w:r>
          </w:p>
        </w:tc>
        <w:tc>
          <w:tcPr>
            <w:tcW w:w="1041" w:type="pct"/>
            <w:shd w:val="clear" w:color="auto" w:fill="auto"/>
            <w:noWrap/>
            <w:vAlign w:val="center"/>
          </w:tcPr>
          <w:p w14:paraId="511564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286</w:t>
            </w:r>
          </w:p>
        </w:tc>
        <w:tc>
          <w:tcPr>
            <w:tcW w:w="1323" w:type="pct"/>
            <w:shd w:val="clear" w:color="auto" w:fill="auto"/>
            <w:noWrap/>
            <w:vAlign w:val="center"/>
          </w:tcPr>
          <w:p w14:paraId="59E97B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8351.2</w:t>
            </w:r>
          </w:p>
        </w:tc>
      </w:tr>
      <w:tr w14:paraId="54EB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pct"/>
            <w:shd w:val="clear" w:color="auto" w:fill="auto"/>
            <w:noWrap/>
            <w:vAlign w:val="center"/>
          </w:tcPr>
          <w:p w14:paraId="2143A2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867" w:type="pct"/>
            <w:shd w:val="clear" w:color="auto" w:fill="auto"/>
            <w:noWrap/>
            <w:vAlign w:val="center"/>
          </w:tcPr>
          <w:p w14:paraId="4C85E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6056</w:t>
            </w:r>
          </w:p>
        </w:tc>
        <w:tc>
          <w:tcPr>
            <w:tcW w:w="1120" w:type="pct"/>
            <w:shd w:val="clear" w:color="auto" w:fill="auto"/>
            <w:noWrap/>
            <w:vAlign w:val="center"/>
          </w:tcPr>
          <w:p w14:paraId="13DB1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351</w:t>
            </w:r>
          </w:p>
        </w:tc>
        <w:tc>
          <w:tcPr>
            <w:tcW w:w="1041" w:type="pct"/>
            <w:shd w:val="clear" w:color="auto" w:fill="auto"/>
            <w:noWrap/>
            <w:vAlign w:val="center"/>
          </w:tcPr>
          <w:p w14:paraId="0F1E55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291</w:t>
            </w:r>
          </w:p>
        </w:tc>
        <w:tc>
          <w:tcPr>
            <w:tcW w:w="1323" w:type="pct"/>
            <w:shd w:val="clear" w:color="auto" w:fill="auto"/>
            <w:noWrap/>
            <w:vAlign w:val="center"/>
          </w:tcPr>
          <w:p w14:paraId="53650F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8497.2</w:t>
            </w:r>
          </w:p>
        </w:tc>
      </w:tr>
      <w:tr w14:paraId="686F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6" w:type="pct"/>
            <w:shd w:val="clear" w:color="auto" w:fill="auto"/>
            <w:noWrap/>
            <w:vAlign w:val="center"/>
          </w:tcPr>
          <w:p w14:paraId="6E58D0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867" w:type="pct"/>
            <w:shd w:val="clear" w:color="auto" w:fill="auto"/>
            <w:noWrap/>
            <w:vAlign w:val="center"/>
          </w:tcPr>
          <w:p w14:paraId="0938E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6163</w:t>
            </w:r>
          </w:p>
        </w:tc>
        <w:tc>
          <w:tcPr>
            <w:tcW w:w="1120" w:type="pct"/>
            <w:shd w:val="clear" w:color="auto" w:fill="auto"/>
            <w:noWrap/>
            <w:vAlign w:val="center"/>
          </w:tcPr>
          <w:p w14:paraId="2DB55A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357</w:t>
            </w:r>
          </w:p>
        </w:tc>
        <w:tc>
          <w:tcPr>
            <w:tcW w:w="1041" w:type="pct"/>
            <w:shd w:val="clear" w:color="auto" w:fill="auto"/>
            <w:noWrap/>
            <w:vAlign w:val="center"/>
          </w:tcPr>
          <w:p w14:paraId="26F02D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296</w:t>
            </w:r>
          </w:p>
        </w:tc>
        <w:tc>
          <w:tcPr>
            <w:tcW w:w="1323" w:type="pct"/>
            <w:shd w:val="clear" w:color="auto" w:fill="auto"/>
            <w:noWrap/>
            <w:vAlign w:val="center"/>
          </w:tcPr>
          <w:p w14:paraId="6A6B1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8643.2</w:t>
            </w:r>
          </w:p>
        </w:tc>
      </w:tr>
      <w:tr w14:paraId="3BE7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6" w:type="pct"/>
            <w:shd w:val="clear" w:color="auto" w:fill="auto"/>
            <w:noWrap/>
            <w:vAlign w:val="center"/>
          </w:tcPr>
          <w:p w14:paraId="5BB27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867" w:type="pct"/>
            <w:shd w:val="clear" w:color="auto" w:fill="auto"/>
            <w:noWrap/>
            <w:vAlign w:val="center"/>
          </w:tcPr>
          <w:p w14:paraId="6768A1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6269</w:t>
            </w:r>
          </w:p>
        </w:tc>
        <w:tc>
          <w:tcPr>
            <w:tcW w:w="1120" w:type="pct"/>
            <w:shd w:val="clear" w:color="auto" w:fill="auto"/>
            <w:noWrap/>
            <w:vAlign w:val="center"/>
          </w:tcPr>
          <w:p w14:paraId="0F7F5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363</w:t>
            </w:r>
          </w:p>
        </w:tc>
        <w:tc>
          <w:tcPr>
            <w:tcW w:w="1041" w:type="pct"/>
            <w:shd w:val="clear" w:color="auto" w:fill="auto"/>
            <w:noWrap/>
            <w:vAlign w:val="center"/>
          </w:tcPr>
          <w:p w14:paraId="16E97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301</w:t>
            </w:r>
          </w:p>
        </w:tc>
        <w:tc>
          <w:tcPr>
            <w:tcW w:w="1323" w:type="pct"/>
            <w:shd w:val="clear" w:color="auto" w:fill="auto"/>
            <w:noWrap/>
            <w:vAlign w:val="center"/>
          </w:tcPr>
          <w:p w14:paraId="0E1C4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8789.2</w:t>
            </w:r>
          </w:p>
        </w:tc>
      </w:tr>
      <w:tr w14:paraId="25DF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6" w:type="pct"/>
            <w:shd w:val="clear" w:color="auto" w:fill="auto"/>
            <w:noWrap/>
            <w:vAlign w:val="center"/>
          </w:tcPr>
          <w:p w14:paraId="6466B3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867" w:type="pct"/>
            <w:shd w:val="clear" w:color="auto" w:fill="auto"/>
            <w:noWrap/>
            <w:vAlign w:val="center"/>
          </w:tcPr>
          <w:p w14:paraId="1AC43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6376</w:t>
            </w:r>
          </w:p>
        </w:tc>
        <w:tc>
          <w:tcPr>
            <w:tcW w:w="1120" w:type="pct"/>
            <w:shd w:val="clear" w:color="auto" w:fill="auto"/>
            <w:noWrap/>
            <w:vAlign w:val="center"/>
          </w:tcPr>
          <w:p w14:paraId="7D5EEE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369</w:t>
            </w:r>
          </w:p>
        </w:tc>
        <w:tc>
          <w:tcPr>
            <w:tcW w:w="1041" w:type="pct"/>
            <w:shd w:val="clear" w:color="auto" w:fill="auto"/>
            <w:noWrap/>
            <w:vAlign w:val="center"/>
          </w:tcPr>
          <w:p w14:paraId="3CD626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306</w:t>
            </w:r>
          </w:p>
        </w:tc>
        <w:tc>
          <w:tcPr>
            <w:tcW w:w="1323" w:type="pct"/>
            <w:shd w:val="clear" w:color="auto" w:fill="auto"/>
            <w:noWrap/>
            <w:vAlign w:val="center"/>
          </w:tcPr>
          <w:p w14:paraId="1BDF9D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8935.2</w:t>
            </w:r>
          </w:p>
        </w:tc>
      </w:tr>
      <w:tr w14:paraId="3BDA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6" w:type="pct"/>
            <w:shd w:val="clear" w:color="auto" w:fill="auto"/>
            <w:noWrap/>
            <w:vAlign w:val="center"/>
          </w:tcPr>
          <w:p w14:paraId="64FDCA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867" w:type="pct"/>
            <w:shd w:val="clear" w:color="auto" w:fill="auto"/>
            <w:noWrap/>
            <w:vAlign w:val="center"/>
          </w:tcPr>
          <w:p w14:paraId="2D7102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6482</w:t>
            </w:r>
          </w:p>
        </w:tc>
        <w:tc>
          <w:tcPr>
            <w:tcW w:w="1120" w:type="pct"/>
            <w:shd w:val="clear" w:color="auto" w:fill="auto"/>
            <w:noWrap/>
            <w:vAlign w:val="center"/>
          </w:tcPr>
          <w:p w14:paraId="75A68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375</w:t>
            </w:r>
          </w:p>
        </w:tc>
        <w:tc>
          <w:tcPr>
            <w:tcW w:w="1041" w:type="pct"/>
            <w:shd w:val="clear" w:color="auto" w:fill="auto"/>
            <w:noWrap/>
            <w:vAlign w:val="center"/>
          </w:tcPr>
          <w:p w14:paraId="7E134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312</w:t>
            </w:r>
          </w:p>
        </w:tc>
        <w:tc>
          <w:tcPr>
            <w:tcW w:w="1323" w:type="pct"/>
            <w:shd w:val="clear" w:color="auto" w:fill="auto"/>
            <w:noWrap/>
            <w:vAlign w:val="center"/>
          </w:tcPr>
          <w:p w14:paraId="3DE2CF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9110.4</w:t>
            </w:r>
          </w:p>
        </w:tc>
      </w:tr>
      <w:tr w14:paraId="1E2D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6" w:type="pct"/>
            <w:shd w:val="clear" w:color="auto" w:fill="auto"/>
            <w:noWrap/>
            <w:vAlign w:val="center"/>
          </w:tcPr>
          <w:p w14:paraId="4A502C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7</w:t>
            </w:r>
          </w:p>
        </w:tc>
        <w:tc>
          <w:tcPr>
            <w:tcW w:w="867" w:type="pct"/>
            <w:shd w:val="clear" w:color="auto" w:fill="auto"/>
            <w:noWrap/>
            <w:vAlign w:val="center"/>
          </w:tcPr>
          <w:p w14:paraId="398BF8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6589</w:t>
            </w:r>
          </w:p>
        </w:tc>
        <w:tc>
          <w:tcPr>
            <w:tcW w:w="1120" w:type="pct"/>
            <w:shd w:val="clear" w:color="auto" w:fill="auto"/>
            <w:noWrap/>
            <w:vAlign w:val="center"/>
          </w:tcPr>
          <w:p w14:paraId="39D829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382</w:t>
            </w:r>
          </w:p>
        </w:tc>
        <w:tc>
          <w:tcPr>
            <w:tcW w:w="1041" w:type="pct"/>
            <w:shd w:val="clear" w:color="auto" w:fill="auto"/>
            <w:noWrap/>
            <w:vAlign w:val="center"/>
          </w:tcPr>
          <w:p w14:paraId="6469D5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317</w:t>
            </w:r>
          </w:p>
        </w:tc>
        <w:tc>
          <w:tcPr>
            <w:tcW w:w="1323" w:type="pct"/>
            <w:shd w:val="clear" w:color="auto" w:fill="auto"/>
            <w:noWrap/>
            <w:vAlign w:val="center"/>
          </w:tcPr>
          <w:p w14:paraId="61319B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9256.4</w:t>
            </w:r>
          </w:p>
        </w:tc>
      </w:tr>
      <w:tr w14:paraId="5E74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6" w:type="pct"/>
            <w:shd w:val="clear" w:color="auto" w:fill="auto"/>
            <w:noWrap/>
            <w:vAlign w:val="center"/>
          </w:tcPr>
          <w:p w14:paraId="32DDE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8</w:t>
            </w:r>
          </w:p>
        </w:tc>
        <w:tc>
          <w:tcPr>
            <w:tcW w:w="867" w:type="pct"/>
            <w:shd w:val="clear" w:color="auto" w:fill="auto"/>
            <w:noWrap/>
            <w:vAlign w:val="center"/>
          </w:tcPr>
          <w:p w14:paraId="06D23F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6695</w:t>
            </w:r>
          </w:p>
        </w:tc>
        <w:tc>
          <w:tcPr>
            <w:tcW w:w="1120" w:type="pct"/>
            <w:shd w:val="clear" w:color="auto" w:fill="auto"/>
            <w:noWrap/>
            <w:vAlign w:val="center"/>
          </w:tcPr>
          <w:p w14:paraId="306C3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388</w:t>
            </w:r>
          </w:p>
        </w:tc>
        <w:tc>
          <w:tcPr>
            <w:tcW w:w="1041" w:type="pct"/>
            <w:shd w:val="clear" w:color="auto" w:fill="auto"/>
            <w:noWrap/>
            <w:vAlign w:val="center"/>
          </w:tcPr>
          <w:p w14:paraId="68C95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322</w:t>
            </w:r>
          </w:p>
        </w:tc>
        <w:tc>
          <w:tcPr>
            <w:tcW w:w="1323" w:type="pct"/>
            <w:shd w:val="clear" w:color="auto" w:fill="auto"/>
            <w:noWrap/>
            <w:vAlign w:val="center"/>
          </w:tcPr>
          <w:p w14:paraId="185DDC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9402.4</w:t>
            </w:r>
          </w:p>
        </w:tc>
      </w:tr>
      <w:tr w14:paraId="345A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6" w:type="pct"/>
            <w:shd w:val="clear" w:color="auto" w:fill="auto"/>
            <w:noWrap/>
            <w:vAlign w:val="center"/>
          </w:tcPr>
          <w:p w14:paraId="43B177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9</w:t>
            </w:r>
          </w:p>
        </w:tc>
        <w:tc>
          <w:tcPr>
            <w:tcW w:w="867" w:type="pct"/>
            <w:shd w:val="clear" w:color="auto" w:fill="auto"/>
            <w:noWrap/>
            <w:vAlign w:val="center"/>
          </w:tcPr>
          <w:p w14:paraId="7A2620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6802</w:t>
            </w:r>
          </w:p>
        </w:tc>
        <w:tc>
          <w:tcPr>
            <w:tcW w:w="1120" w:type="pct"/>
            <w:shd w:val="clear" w:color="auto" w:fill="auto"/>
            <w:noWrap/>
            <w:vAlign w:val="center"/>
          </w:tcPr>
          <w:p w14:paraId="5EC63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394</w:t>
            </w:r>
          </w:p>
        </w:tc>
        <w:tc>
          <w:tcPr>
            <w:tcW w:w="1041" w:type="pct"/>
            <w:shd w:val="clear" w:color="auto" w:fill="auto"/>
            <w:noWrap/>
            <w:vAlign w:val="center"/>
          </w:tcPr>
          <w:p w14:paraId="3174DC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327</w:t>
            </w:r>
          </w:p>
        </w:tc>
        <w:tc>
          <w:tcPr>
            <w:tcW w:w="1323" w:type="pct"/>
            <w:shd w:val="clear" w:color="auto" w:fill="auto"/>
            <w:noWrap/>
            <w:vAlign w:val="center"/>
          </w:tcPr>
          <w:p w14:paraId="1485F5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9548.4</w:t>
            </w:r>
          </w:p>
        </w:tc>
      </w:tr>
      <w:tr w14:paraId="3B6D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6" w:type="pct"/>
            <w:shd w:val="clear" w:color="auto" w:fill="auto"/>
            <w:noWrap/>
            <w:vAlign w:val="center"/>
          </w:tcPr>
          <w:p w14:paraId="0BE460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10-38</w:t>
            </w:r>
          </w:p>
        </w:tc>
        <w:tc>
          <w:tcPr>
            <w:tcW w:w="867" w:type="pct"/>
            <w:shd w:val="clear" w:color="auto" w:fill="auto"/>
            <w:noWrap/>
            <w:vAlign w:val="center"/>
          </w:tcPr>
          <w:p w14:paraId="4CC67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6908</w:t>
            </w:r>
          </w:p>
        </w:tc>
        <w:tc>
          <w:tcPr>
            <w:tcW w:w="1120" w:type="pct"/>
            <w:shd w:val="clear" w:color="auto" w:fill="auto"/>
            <w:noWrap/>
            <w:vAlign w:val="center"/>
          </w:tcPr>
          <w:p w14:paraId="4A619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1041" w:type="pct"/>
            <w:shd w:val="clear" w:color="auto" w:fill="auto"/>
            <w:noWrap/>
            <w:vAlign w:val="center"/>
          </w:tcPr>
          <w:p w14:paraId="61B41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332</w:t>
            </w:r>
          </w:p>
        </w:tc>
        <w:tc>
          <w:tcPr>
            <w:tcW w:w="1323" w:type="pct"/>
            <w:shd w:val="clear" w:color="auto" w:fill="auto"/>
            <w:noWrap/>
            <w:vAlign w:val="center"/>
          </w:tcPr>
          <w:p w14:paraId="37947A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9694.4</w:t>
            </w:r>
          </w:p>
        </w:tc>
      </w:tr>
    </w:tbl>
    <w:p w14:paraId="371AF30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本项目上网电价前15年按照0.3829元/kWh进行估算（含0.1元省补），16-38年按照0.2829元/kWh进行估算，则运营期前15年垃圾发电</w:t>
      </w:r>
      <w:r>
        <w:rPr>
          <w:rFonts w:hint="eastAsia"/>
          <w:color w:val="000000" w:themeColor="text1"/>
          <w:lang w:val="en-US" w:eastAsia="zh-CN"/>
          <w14:textFill>
            <w14:solidFill>
              <w14:schemeClr w14:val="tx1"/>
            </w14:solidFill>
          </w14:textFill>
        </w:rPr>
        <w:t>平均</w:t>
      </w:r>
      <w:r>
        <w:rPr>
          <w:rFonts w:hint="eastAsia"/>
          <w:color w:val="000000" w:themeColor="text1"/>
          <w14:textFill>
            <w14:solidFill>
              <w14:schemeClr w14:val="tx1"/>
            </w14:solidFill>
          </w14:textFill>
        </w:rPr>
        <w:t>收入为3,</w:t>
      </w:r>
      <w:r>
        <w:rPr>
          <w:rFonts w:hint="eastAsia"/>
          <w:color w:val="000000" w:themeColor="text1"/>
          <w:lang w:val="en-US" w:eastAsia="zh-CN"/>
          <w14:textFill>
            <w14:solidFill>
              <w14:schemeClr w14:val="tx1"/>
            </w14:solidFill>
          </w14:textFill>
        </w:rPr>
        <w:t>133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万元/年，16-38年为2,</w:t>
      </w:r>
      <w:r>
        <w:rPr>
          <w:rFonts w:hint="eastAsia"/>
          <w:color w:val="000000" w:themeColor="text1"/>
          <w:lang w:val="en-US" w:eastAsia="zh-CN"/>
          <w14:textFill>
            <w14:solidFill>
              <w14:schemeClr w14:val="tx1"/>
            </w14:solidFill>
          </w14:textFill>
        </w:rPr>
        <w:t>427</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03</w:t>
      </w:r>
      <w:r>
        <w:rPr>
          <w:rFonts w:hint="eastAsia"/>
          <w:color w:val="000000" w:themeColor="text1"/>
          <w14:textFill>
            <w14:solidFill>
              <w14:schemeClr w14:val="tx1"/>
            </w14:solidFill>
          </w14:textFill>
        </w:rPr>
        <w:t>万元/年，38年总计10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821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万元。</w:t>
      </w:r>
    </w:p>
    <w:p w14:paraId="1FE93D64">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收入边界条件变化</w:t>
      </w:r>
    </w:p>
    <w:p w14:paraId="51E4D881">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发电</w:t>
      </w:r>
    </w:p>
    <w:p w14:paraId="5352A90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本项目电价测算目前未考虑国家补贴（0.2671元/kWh），如果实际实施过程中能够申请到国补，则上网发电收入可在一定程度上上涨，政府代支给项目公司的使用者付费收入届时可依据特许经营协议进行调整。</w:t>
      </w:r>
    </w:p>
    <w:p w14:paraId="252B350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电价测算前15年包含内蒙古自治区补贴（0.1元/kWh），如果实际实施过程中无法申请到省补，则上网发电收入将在一定程度上降低，项目收益率也将因此降低。此时政府和项目公司可进行协商，采用调价或其他合法合规的方式弥补此部分收益。</w:t>
      </w:r>
    </w:p>
    <w:p w14:paraId="059F26D1">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蒸汽供应</w:t>
      </w:r>
    </w:p>
    <w:p w14:paraId="45A0D36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rFonts w:hint="eastAsia"/>
          <w:color w:val="000000" w:themeColor="text1"/>
          <w:lang w:val="en-US" w:eastAsia="zh-CN"/>
          <w14:textFill>
            <w14:solidFill>
              <w14:schemeClr w14:val="tx1"/>
            </w14:solidFill>
          </w14:textFill>
        </w:rPr>
        <w:t>方案暂</w:t>
      </w:r>
      <w:r>
        <w:rPr>
          <w:rFonts w:hint="eastAsia"/>
          <w:color w:val="000000" w:themeColor="text1"/>
          <w14:textFill>
            <w14:solidFill>
              <w14:schemeClr w14:val="tx1"/>
            </w14:solidFill>
          </w14:textFill>
        </w:rPr>
        <w:t>未考虑未来利用垃圾焚烧产生的热能进行蒸汽供应</w:t>
      </w:r>
      <w:r>
        <w:rPr>
          <w:rFonts w:hint="eastAsia"/>
          <w:color w:val="000000" w:themeColor="text1"/>
          <w:lang w:val="en-US" w:eastAsia="zh-CN"/>
          <w14:textFill>
            <w14:solidFill>
              <w14:schemeClr w14:val="tx1"/>
            </w14:solidFill>
          </w14:textFill>
        </w:rPr>
        <w:t>产生的收入，将</w:t>
      </w:r>
      <w:r>
        <w:rPr>
          <w:rFonts w:hint="eastAsia"/>
          <w:color w:val="000000" w:themeColor="text1"/>
          <w14:textFill>
            <w14:solidFill>
              <w14:schemeClr w14:val="tx1"/>
            </w14:solidFill>
          </w14:textFill>
        </w:rPr>
        <w:t>蒸汽供应相关权益授予特许经营者，鼓励其按照“宜气则气、宜热则热、宜电则电”的原则发展非电领域应用，减少对电价补贴的依赖。如果</w:t>
      </w:r>
      <w:r>
        <w:rPr>
          <w:rFonts w:hint="eastAsia"/>
          <w:color w:val="000000" w:themeColor="text1"/>
          <w:lang w:val="en-US" w:eastAsia="zh-CN"/>
          <w14:textFill>
            <w14:solidFill>
              <w14:schemeClr w14:val="tx1"/>
            </w14:solidFill>
          </w14:textFill>
        </w:rPr>
        <w:t>后续</w:t>
      </w:r>
      <w:r>
        <w:rPr>
          <w:rFonts w:hint="eastAsia"/>
          <w:color w:val="000000" w:themeColor="text1"/>
          <w14:textFill>
            <w14:solidFill>
              <w14:schemeClr w14:val="tx1"/>
            </w14:solidFill>
          </w14:textFill>
        </w:rPr>
        <w:t>在实际实施过程中</w:t>
      </w:r>
      <w:r>
        <w:rPr>
          <w:rFonts w:hint="eastAsia"/>
          <w:color w:val="000000" w:themeColor="text1"/>
          <w:lang w:val="en-US" w:eastAsia="zh-CN"/>
          <w14:textFill>
            <w14:solidFill>
              <w14:schemeClr w14:val="tx1"/>
            </w14:solidFill>
          </w14:textFill>
        </w:rPr>
        <w:t>政府方成功引入用热单位，在项目公司实现盈利的情况下，该</w:t>
      </w:r>
      <w:r>
        <w:rPr>
          <w:rFonts w:hint="eastAsia"/>
          <w:color w:val="000000" w:themeColor="text1"/>
          <w14:textFill>
            <w14:solidFill>
              <w14:schemeClr w14:val="tx1"/>
            </w14:solidFill>
          </w14:textFill>
        </w:rPr>
        <w:t>蒸汽销售</w:t>
      </w:r>
      <w:r>
        <w:rPr>
          <w:rFonts w:hint="eastAsia"/>
          <w:color w:val="000000" w:themeColor="text1"/>
          <w:lang w:val="en-US" w:eastAsia="zh-CN"/>
          <w14:textFill>
            <w14:solidFill>
              <w14:schemeClr w14:val="tx1"/>
            </w14:solidFill>
          </w14:textFill>
        </w:rPr>
        <w:t>收入</w:t>
      </w:r>
      <w:r>
        <w:rPr>
          <w:rFonts w:hint="eastAsia"/>
          <w:color w:val="000000" w:themeColor="text1"/>
          <w14:textFill>
            <w14:solidFill>
              <w14:schemeClr w14:val="tx1"/>
            </w14:solidFill>
          </w14:textFill>
        </w:rPr>
        <w:t>届时政府可与项目公司进行友好协商，根据单价及相关参数对此部分收入进行利益分配。</w:t>
      </w:r>
    </w:p>
    <w:p w14:paraId="45DAE817">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总结</w:t>
      </w:r>
    </w:p>
    <w:p w14:paraId="7A0693B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综上所述，本项目38年运营期内经营收入共计约为2</w:t>
      </w:r>
      <w:r>
        <w:rPr>
          <w:rFonts w:hint="eastAsia"/>
          <w:color w:val="000000" w:themeColor="text1"/>
          <w:lang w:val="en-US" w:eastAsia="zh-CN"/>
          <w14:textFill>
            <w14:solidFill>
              <w14:schemeClr w14:val="tx1"/>
            </w14:solidFill>
          </w14:textFill>
        </w:rPr>
        <w:t>779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369.97</w:t>
      </w:r>
      <w:r>
        <w:rPr>
          <w:rFonts w:hint="eastAsia"/>
          <w:color w:val="000000" w:themeColor="text1"/>
          <w14:textFill>
            <w14:solidFill>
              <w14:schemeClr w14:val="tx1"/>
            </w14:solidFill>
          </w14:textFill>
        </w:rPr>
        <w:t>万元。</w:t>
      </w:r>
    </w:p>
    <w:p w14:paraId="695ED49C">
      <w:pPr>
        <w:pStyle w:val="6"/>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结论</w:t>
      </w:r>
    </w:p>
    <w:p w14:paraId="760F56C9">
      <w:pPr>
        <w:ind w:firstLine="56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通过上述项目运营收入、运营成本分析，以及综合项目的其他边界条件，项目资本金财务内部收益率为</w:t>
      </w:r>
      <w:r>
        <w:rPr>
          <w:rFonts w:hint="eastAsia"/>
          <w:color w:val="000000" w:themeColor="text1"/>
          <w:highlight w:val="none"/>
          <w:lang w:val="en-US" w:eastAsia="zh-CN"/>
          <w14:textFill>
            <w14:solidFill>
              <w14:schemeClr w14:val="tx1"/>
            </w14:solidFill>
          </w14:textFill>
        </w:rPr>
        <w:t>5.81</w:t>
      </w:r>
      <w:r>
        <w:rPr>
          <w:rFonts w:hint="eastAsia"/>
          <w:color w:val="000000" w:themeColor="text1"/>
          <w:highlight w:val="none"/>
          <w14:textFill>
            <w14:solidFill>
              <w14:schemeClr w14:val="tx1"/>
            </w14:solidFill>
          </w14:textFill>
        </w:rPr>
        <w:t>%，项目投资财务内部收</w:t>
      </w:r>
      <w:r>
        <w:rPr>
          <w:rFonts w:hint="eastAsia" w:ascii="仿宋" w:hAnsi="仿宋" w:cs="仿宋"/>
          <w:color w:val="000000" w:themeColor="text1"/>
          <w:highlight w:val="none"/>
          <w14:textFill>
            <w14:solidFill>
              <w14:schemeClr w14:val="tx1"/>
            </w14:solidFill>
          </w14:textFill>
        </w:rPr>
        <w:t>益率(所得税后)</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2.47</w:t>
      </w:r>
      <w:r>
        <w:rPr>
          <w:rFonts w:hint="eastAsia"/>
          <w:color w:val="000000" w:themeColor="text1"/>
          <w:highlight w:val="none"/>
          <w14:textFill>
            <w14:solidFill>
              <w14:schemeClr w14:val="tx1"/>
            </w14:solidFill>
          </w14:textFill>
        </w:rPr>
        <w:t>%，具有一定的盈利能力。</w:t>
      </w:r>
    </w:p>
    <w:p w14:paraId="0CCE5D75">
      <w:pPr>
        <w:pStyle w:val="5"/>
        <w:numPr>
          <w:ilvl w:val="2"/>
          <w:numId w:val="61"/>
        </w:numPr>
        <w:rPr>
          <w:color w:val="000000" w:themeColor="text1"/>
          <w14:textFill>
            <w14:solidFill>
              <w14:schemeClr w14:val="tx1"/>
            </w14:solidFill>
          </w14:textFill>
        </w:rPr>
      </w:pPr>
      <w:bookmarkStart w:id="317" w:name="_Toc6900"/>
      <w:bookmarkStart w:id="318" w:name="_Toc7735"/>
      <w:r>
        <w:rPr>
          <w:rFonts w:hint="eastAsia"/>
          <w:color w:val="000000" w:themeColor="text1"/>
          <w14:textFill>
            <w14:solidFill>
              <w14:schemeClr w14:val="tx1"/>
            </w14:solidFill>
          </w14:textFill>
        </w:rPr>
        <w:t>比较优势分析</w:t>
      </w:r>
      <w:bookmarkEnd w:id="317"/>
      <w:bookmarkEnd w:id="318"/>
    </w:p>
    <w:p w14:paraId="3AB93BCE">
      <w:pPr>
        <w:pStyle w:val="6"/>
        <w:numPr>
          <w:ilvl w:val="3"/>
          <w:numId w:val="61"/>
        </w:numPr>
        <w:spacing w:before="156" w:after="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符合国家政策导向要求</w:t>
      </w:r>
    </w:p>
    <w:p w14:paraId="2699733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创新重点领域投融资机制鼓励社会投资的指导意见》（国发〔2014〕60号）指出，当地政府应完善市政基础设施投融资模式。建立完善政府主导、分级负责、多元筹资的市政基础设施投融资模式，完善收费市政基础设施政策，吸引</w:t>
      </w:r>
      <w:r>
        <w:rPr>
          <w:rFonts w:hint="eastAsia"/>
          <w:color w:val="000000" w:themeColor="text1"/>
          <w:lang w:eastAsia="zh-CN"/>
          <w14:textFill>
            <w14:solidFill>
              <w14:schemeClr w14:val="tx1"/>
            </w14:solidFill>
          </w14:textFill>
        </w:rPr>
        <w:t>社会资本</w:t>
      </w:r>
      <w:r>
        <w:rPr>
          <w:rFonts w:hint="eastAsia"/>
          <w:color w:val="000000" w:themeColor="text1"/>
          <w14:textFill>
            <w14:solidFill>
              <w14:schemeClr w14:val="tx1"/>
            </w14:solidFill>
          </w14:textFill>
        </w:rPr>
        <w:t>投入，多渠道筹措建设和维护资金；《国家发展改革委关于开展政府和社会资本合作的指导意见》（发改投资〔2014〕2724号）指出，政府和社会资本合作模式主要适用于政府负有提供责任又适宜市场化运作的公共服务、基础设施类项目；国家发展改革委《传统基础设施领域实施政府和社会资本合作项目工作导则》（发改投资〔2016〕2231号）提出政府和社会资本合作模式主要包括特许经营和政府购买服务两类；国务院办公厅转发国家发展改革委、财政部《关于规范实施政府和社会资本合作新机制的指导意见》的通知（国办函〔2023〕115号）中明确，政府和社会资本合作应全部采取特许经营模式实施。</w:t>
      </w:r>
      <w:r>
        <w:rPr>
          <w:rFonts w:hint="eastAsia"/>
          <w:color w:val="000000" w:themeColor="text1"/>
          <w:lang w:val="en-US" w:eastAsia="zh-CN"/>
          <w14:textFill>
            <w14:solidFill>
              <w14:schemeClr w14:val="tx1"/>
            </w14:solidFill>
          </w14:textFill>
        </w:rPr>
        <w:t>垃圾焚烧发电</w:t>
      </w:r>
      <w:r>
        <w:rPr>
          <w:rFonts w:hint="eastAsia"/>
          <w:color w:val="000000" w:themeColor="text1"/>
          <w14:textFill>
            <w14:solidFill>
              <w14:schemeClr w14:val="tx1"/>
            </w14:solidFill>
          </w14:textFill>
        </w:rPr>
        <w:t>项目收入来源</w:t>
      </w:r>
      <w:r>
        <w:rPr>
          <w:rFonts w:hint="eastAsia"/>
          <w:color w:val="000000" w:themeColor="text1"/>
          <w:lang w:val="en-US" w:eastAsia="zh-CN"/>
          <w14:textFill>
            <w14:solidFill>
              <w14:schemeClr w14:val="tx1"/>
            </w14:solidFill>
          </w14:textFill>
        </w:rPr>
        <w:t>全部</w:t>
      </w:r>
      <w:r>
        <w:rPr>
          <w:rFonts w:hint="eastAsia"/>
          <w:color w:val="000000" w:themeColor="text1"/>
          <w14:textFill>
            <w14:solidFill>
              <w14:schemeClr w14:val="tx1"/>
            </w14:solidFill>
          </w14:textFill>
        </w:rPr>
        <w:t>为使用者付费，具有特许经营模式实施的先决条件。</w:t>
      </w:r>
    </w:p>
    <w:p w14:paraId="5EBFF22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本项目采用特许经营模式实施，符合国家相关政策，在政策上是可行的。</w:t>
      </w:r>
    </w:p>
    <w:p w14:paraId="09203D74">
      <w:pPr>
        <w:pStyle w:val="6"/>
        <w:numPr>
          <w:ilvl w:val="3"/>
          <w:numId w:val="61"/>
        </w:numPr>
        <w:spacing w:before="156" w:after="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降低全生命周期成本，提升服务质量</w:t>
      </w:r>
    </w:p>
    <w:p w14:paraId="06D2BA3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采用特许经营模式，特许经营者将全面参与项目投融资、建设、运营过程，从项目前期阶段开始引入全生命周期管理，改变传统项目只注重建设的思维，从满足未来运营、实现政企长期合作目标，提高资金使用效率和公众满意度的角度，考虑项目建设的地点、规模、内容及投资等。</w:t>
      </w:r>
    </w:p>
    <w:p w14:paraId="212A62AA">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者为了提升服务的质量和效率，会不断优化设计、节约项目投资、控制项目成本、提高项目使用功能与质量，能够全面考虑项目的建设成本、运营成本并全面控制项目风险，从而降低本项目生命周期成本和全社会总资源消耗，提升项目服务质量。</w:t>
      </w:r>
    </w:p>
    <w:p w14:paraId="78567028">
      <w:pPr>
        <w:pStyle w:val="6"/>
        <w:numPr>
          <w:ilvl w:val="3"/>
          <w:numId w:val="61"/>
        </w:numPr>
        <w:spacing w:before="156" w:after="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通过特许经营模式提升建设运营效率</w:t>
      </w:r>
    </w:p>
    <w:p w14:paraId="08569DA6">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目前的市政基础设施主要采用政府投资、行业统管的运作模式，可能存在着效率不高等一系列问题，目前国家鼓励特许经营模式运作的重要目的就是要转变政府职能，提升基础设施行业运营效率。本项目通过特许经营模式引入社会资本方实现城市基础设施的投资、建设及运营一体化，实现“专业的人干专业的事”，提升行业运营效率，满足城市管理的新要求，适应社会经济可持续发展要求。</w:t>
      </w:r>
    </w:p>
    <w:p w14:paraId="703B6DE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政府来讲，采取特许经营模式不仅可以减轻政府的债务负担，还能有效促进政府职能转变，解决政府职能错位、越位、缺位问题；对社会资本方来讲，拓宽了其发展空间，进一步激发非公有制经济的活力；对社会公共服务来讲，通过“让专业的人做专业的事”，提高公共产品供给效率和服务质量。</w:t>
      </w:r>
    </w:p>
    <w:p w14:paraId="2308DCBF">
      <w:pPr>
        <w:pStyle w:val="6"/>
        <w:numPr>
          <w:ilvl w:val="3"/>
          <w:numId w:val="61"/>
        </w:numPr>
        <w:spacing w:before="156" w:after="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优化风险分配方式，降低政府风险</w:t>
      </w:r>
    </w:p>
    <w:p w14:paraId="7F8E16A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模式与传统政府采购模式相比，可以在一定程度上优化项目的风险分配。在传统政府采购模式下，由于决策及其它原因，经常导致政府分担较多的风险。在特许经营模式下，按照风险分配优化、风险收益对等和风险可控等原则，通过合作各方平等协商，有利于在政府和社会资本方之间形成合理的风险分配机制。</w:t>
      </w:r>
    </w:p>
    <w:p w14:paraId="07A69B9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综上，定性分析来看，本项目采用特许经营模式实施能够切实降低项目的全生命周期成本。</w:t>
      </w:r>
    </w:p>
    <w:p w14:paraId="62205322">
      <w:pPr>
        <w:pStyle w:val="6"/>
        <w:numPr>
          <w:ilvl w:val="3"/>
          <w:numId w:val="61"/>
        </w:numPr>
        <w:spacing w:before="156" w:after="156"/>
        <w:rPr>
          <w:rFonts w:hint="eastAsia"/>
          <w:color w:val="000000" w:themeColor="text1"/>
          <w14:textFill>
            <w14:solidFill>
              <w14:schemeClr w14:val="tx1"/>
            </w14:solidFill>
          </w14:textFill>
        </w:rPr>
      </w:pPr>
      <w:bookmarkStart w:id="319" w:name="_Toc126657246"/>
      <w:bookmarkStart w:id="320" w:name="_Toc2018"/>
      <w:bookmarkStart w:id="321" w:name="_Toc18323"/>
      <w:bookmarkStart w:id="322" w:name="_Toc13849"/>
      <w:r>
        <w:rPr>
          <w:rFonts w:hint="eastAsia"/>
          <w:color w:val="000000" w:themeColor="text1"/>
          <w14:textFill>
            <w14:solidFill>
              <w14:schemeClr w14:val="tx1"/>
            </w14:solidFill>
          </w14:textFill>
        </w:rPr>
        <w:t>物有所值定量评价</w:t>
      </w:r>
      <w:bookmarkEnd w:id="319"/>
      <w:bookmarkEnd w:id="320"/>
      <w:bookmarkEnd w:id="321"/>
      <w:bookmarkEnd w:id="322"/>
    </w:p>
    <w:p w14:paraId="0463237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参考政府与社会资本合作模式的政策文件，用PPP值表示政府实施特许经营项目所承担的全生命周期成本的净现值，PPP值是股权投资、运营补贴、风险承担、配套投入四项成本的全生命周期现值之和；用PSC值表示全生命周期内，政府采用传统采购模式提供公共产品和服务的全部成本的现值。PSC值是参照项目的建设和运营维护净成本、竞争性中立调整值、项目全部风险成本三项成本的全生命周期现值之和。依据相关政策文件规定，PPP值小于或等于PSC值的，认定为通过定量评价；PPP值大于PSC值的，认定为未通过定量评价。</w:t>
      </w:r>
    </w:p>
    <w:p w14:paraId="1FC3E83D">
      <w:pPr>
        <w:pStyle w:val="8"/>
        <w:rPr>
          <w:rFonts w:hint="eastAsia"/>
          <w:color w:val="000000" w:themeColor="text1"/>
          <w14:textFill>
            <w14:solidFill>
              <w14:schemeClr w14:val="tx1"/>
            </w14:solidFill>
          </w14:textFill>
        </w:rPr>
      </w:pPr>
      <w:bookmarkStart w:id="323" w:name="_Toc179371090"/>
      <w:bookmarkStart w:id="324" w:name="_Toc126657247"/>
      <w:bookmarkStart w:id="325" w:name="_Toc27317"/>
      <w:bookmarkStart w:id="326" w:name="_Toc21412"/>
      <w:r>
        <w:rPr>
          <w:rFonts w:hint="eastAsia"/>
          <w:color w:val="000000" w:themeColor="text1"/>
          <w14:textFill>
            <w14:solidFill>
              <w14:schemeClr w14:val="tx1"/>
            </w14:solidFill>
          </w14:textFill>
        </w:rPr>
        <w:t>评价操作说明</w:t>
      </w:r>
      <w:bookmarkEnd w:id="323"/>
      <w:bookmarkEnd w:id="324"/>
      <w:bookmarkEnd w:id="325"/>
      <w:bookmarkEnd w:id="326"/>
    </w:p>
    <w:p w14:paraId="2E26E92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本项目进行物有所值定量评价将按以下步骤操作：</w:t>
      </w:r>
    </w:p>
    <w:p w14:paraId="59F48E1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1.确定折现率，年度折现率参照同期</w:t>
      </w:r>
      <w:r>
        <w:rPr>
          <w:rFonts w:hint="eastAsia"/>
          <w:color w:val="000000" w:themeColor="text1"/>
          <w:lang w:val="en-US" w:eastAsia="zh-CN"/>
          <w14:textFill>
            <w14:solidFill>
              <w14:schemeClr w14:val="tx1"/>
            </w14:solidFill>
          </w14:textFill>
        </w:rPr>
        <w:t>5年期以上贷款利率</w:t>
      </w:r>
      <w:r>
        <w:rPr>
          <w:color w:val="000000" w:themeColor="text1"/>
          <w14:textFill>
            <w14:solidFill>
              <w14:schemeClr w14:val="tx1"/>
            </w14:solidFill>
          </w14:textFill>
        </w:rPr>
        <w:t>合理确定。本次项目所在地为</w:t>
      </w:r>
      <w:r>
        <w:rPr>
          <w:rFonts w:hint="eastAsia"/>
          <w:color w:val="000000" w:themeColor="text1"/>
          <w14:textFill>
            <w14:solidFill>
              <w14:schemeClr w14:val="tx1"/>
            </w14:solidFill>
          </w14:textFill>
        </w:rPr>
        <w:t>内蒙古</w:t>
      </w:r>
      <w:r>
        <w:rPr>
          <w:rFonts w:hint="eastAsia"/>
          <w:color w:val="000000" w:themeColor="text1"/>
          <w:lang w:val="en-US" w:eastAsia="zh-CN"/>
          <w14:textFill>
            <w14:solidFill>
              <w14:schemeClr w14:val="tx1"/>
            </w14:solidFill>
          </w14:textFill>
        </w:rPr>
        <w:t>包头</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内蒙古</w:t>
      </w:r>
      <w:r>
        <w:rPr>
          <w:color w:val="000000" w:themeColor="text1"/>
          <w14:textFill>
            <w14:solidFill>
              <w14:schemeClr w14:val="tx1"/>
            </w14:solidFill>
          </w14:textFill>
        </w:rPr>
        <w:t>经济发展水平，并考虑地区因素适当调整，确定本项目折现率暂定为</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p>
    <w:p w14:paraId="7E0B3A5F">
      <w:pPr>
        <w:ind w:firstLine="560" w:firstLineChars="200"/>
        <w:rPr>
          <w:rFonts w:hint="eastAsia" w:eastAsia="仿宋"/>
          <w:color w:val="000000" w:themeColor="text1"/>
          <w:lang w:eastAsia="zh-CN"/>
          <w14:textFill>
            <w14:solidFill>
              <w14:schemeClr w14:val="tx1"/>
            </w14:solidFill>
          </w14:textFill>
        </w:rPr>
      </w:pPr>
      <w:r>
        <w:rPr>
          <w:color w:val="000000" w:themeColor="text1"/>
          <w14:textFill>
            <w14:solidFill>
              <w14:schemeClr w14:val="tx1"/>
            </w14:solidFill>
          </w14:textFill>
        </w:rPr>
        <w:t>2.设定参照项目并计算PSC值；</w:t>
      </w:r>
    </w:p>
    <w:p w14:paraId="7804E83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3.根据本方案计算PPP值；</w:t>
      </w:r>
    </w:p>
    <w:p w14:paraId="5EDD85D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4.比较PSC值和PPP值，得出定量分析结论(计算项目的物有所值量值，主要是为判断政府和社会资本合作模式是否能降低项目全生命周期成本)；</w:t>
      </w:r>
    </w:p>
    <w:p w14:paraId="5F063CC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5.PPP值小于或等于PSC值的，认定为通过定量评价；PPP值大于PSC值的，认定为未通过定量评价；</w:t>
      </w:r>
    </w:p>
    <w:p w14:paraId="5DB8E23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6.定量分析过程中未标明的数值单位均为万元。</w:t>
      </w:r>
    </w:p>
    <w:p w14:paraId="6535A060">
      <w:pPr>
        <w:pStyle w:val="8"/>
        <w:rPr>
          <w:rFonts w:hint="eastAsia"/>
          <w:color w:val="000000" w:themeColor="text1"/>
          <w14:textFill>
            <w14:solidFill>
              <w14:schemeClr w14:val="tx1"/>
            </w14:solidFill>
          </w14:textFill>
        </w:rPr>
      </w:pPr>
      <w:bookmarkStart w:id="327" w:name="_Toc27056"/>
      <w:bookmarkStart w:id="328" w:name="_Toc19515"/>
      <w:bookmarkStart w:id="329" w:name="_Toc126657248"/>
      <w:bookmarkStart w:id="330" w:name="_Toc179371091"/>
      <w:r>
        <w:rPr>
          <w:rFonts w:hint="eastAsia"/>
          <w:color w:val="000000" w:themeColor="text1"/>
          <w14:textFill>
            <w14:solidFill>
              <w14:schemeClr w14:val="tx1"/>
            </w14:solidFill>
          </w14:textFill>
        </w:rPr>
        <w:t>计算PSC值</w:t>
      </w:r>
      <w:bookmarkEnd w:id="327"/>
      <w:bookmarkEnd w:id="328"/>
      <w:bookmarkEnd w:id="329"/>
      <w:bookmarkEnd w:id="330"/>
    </w:p>
    <w:p w14:paraId="7ED5BCE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PSC值是指在全生命周期内，政府采用传统采购模式提供公共产品和服务的全部成本的现值。PSC值是以下三项成本的全生命周期现值之和：</w:t>
      </w:r>
    </w:p>
    <w:p w14:paraId="74BD5CC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（1）参照项目的建设和运营维护净成本；</w:t>
      </w:r>
    </w:p>
    <w:p w14:paraId="7D0CBA4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（2）竞争性中立调整值；</w:t>
      </w:r>
    </w:p>
    <w:p w14:paraId="24AC851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（3）项目全部风险成本。</w:t>
      </w:r>
    </w:p>
    <w:p w14:paraId="7288EC1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政府传统投资方式采用如下两种模式作为参照项目：</w:t>
      </w:r>
    </w:p>
    <w:p w14:paraId="3A9C0B0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假设政府采用现实可行的、最有效的传统投资方式实施的、与特许经营项目产出相同的虚拟项目；</w:t>
      </w:r>
    </w:p>
    <w:p w14:paraId="7E45542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最近五年内，相同或相似地区采用政府传统投资方式实施的、与特许经营项目产出相同或非常相似的项目。</w:t>
      </w:r>
    </w:p>
    <w:p w14:paraId="2AB77A5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鉴于实际情况，本项目参照项目确定为：假设政府采用现实可行的、最有效的传统投资方式实施的、与本项目产出相同的虚拟项目。</w:t>
      </w:r>
    </w:p>
    <w:p w14:paraId="50C2206A">
      <w:pPr>
        <w:ind w:firstLine="560" w:firstLineChars="200"/>
        <w:rPr>
          <w:rFonts w:hint="eastAsia" w:eastAsia="仿宋"/>
          <w:color w:val="000000" w:themeColor="text1"/>
          <w:lang w:val="en-US" w:eastAsia="zh-CN"/>
          <w14:textFill>
            <w14:solidFill>
              <w14:schemeClr w14:val="tx1"/>
            </w14:solidFill>
          </w14:textFill>
        </w:rPr>
      </w:pPr>
      <w:r>
        <w:rPr>
          <w:color w:val="000000" w:themeColor="text1"/>
          <w14:textFill>
            <w14:solidFill>
              <w14:schemeClr w14:val="tx1"/>
            </w14:solidFill>
          </w14:textFill>
        </w:rPr>
        <w:t>本项目PSC值=参照项目的建设和运营维护净成本现值之和+竞争性中立调整值现值之和+项目全部风险成本现值之和=</w:t>
      </w:r>
      <w:r>
        <w:rPr>
          <w:rFonts w:hint="eastAsia"/>
          <w:color w:val="000000" w:themeColor="text1"/>
          <w:lang w:val="en-US" w:eastAsia="zh-CN"/>
          <w14:textFill>
            <w14:solidFill>
              <w14:schemeClr w14:val="tx1"/>
            </w14:solidFill>
          </w14:textFill>
        </w:rPr>
        <w:t>34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370.46</w:t>
      </w:r>
      <w:r>
        <w:rPr>
          <w:color w:val="000000" w:themeColor="text1"/>
          <w14:textFill>
            <w14:solidFill>
              <w14:schemeClr w14:val="tx1"/>
            </w14:solidFill>
          </w14:textFill>
        </w:rPr>
        <w:t>万元</w:t>
      </w:r>
      <w:r>
        <w:rPr>
          <w:rFonts w:hint="eastAsia"/>
          <w:color w:val="000000" w:themeColor="text1"/>
          <w:lang w:eastAsia="zh-CN"/>
          <w14:textFill>
            <w14:solidFill>
              <w14:schemeClr w14:val="tx1"/>
            </w14:solidFill>
          </w14:textFill>
        </w:rPr>
        <w:t>。</w:t>
      </w:r>
    </w:p>
    <w:p w14:paraId="66D2514D">
      <w:pPr>
        <w:pStyle w:val="9"/>
        <w:numPr>
          <w:ilvl w:val="4"/>
          <w:numId w:val="62"/>
        </w:numPr>
        <w:bidi w:val="0"/>
        <w:ind w:left="1644" w:leftChars="0" w:hanging="1020" w:firstLineChars="0"/>
      </w:pPr>
      <w:bookmarkStart w:id="331" w:name="_Toc126657249"/>
      <w:r>
        <w:t>虚拟项目的建设和运营维护净成本的计算</w:t>
      </w:r>
      <w:bookmarkEnd w:id="331"/>
    </w:p>
    <w:p w14:paraId="0A940554">
      <w:pPr>
        <w:ind w:firstLine="560" w:firstLineChars="200"/>
        <w:rPr>
          <w:rFonts w:hint="eastAsia" w:eastAsia="仿宋"/>
          <w:color w:val="000000" w:themeColor="text1"/>
          <w:lang w:eastAsia="zh-CN"/>
          <w14:textFill>
            <w14:solidFill>
              <w14:schemeClr w14:val="tx1"/>
            </w14:solidFill>
          </w14:textFill>
        </w:rPr>
      </w:pPr>
      <w:r>
        <w:rPr>
          <w:color w:val="000000" w:themeColor="text1"/>
          <w14:textFill>
            <w14:solidFill>
              <w14:schemeClr w14:val="tx1"/>
            </w14:solidFill>
          </w14:textFill>
        </w:rPr>
        <w:t>虚拟项目的建设和运营维护净成本=虚拟项目每年的建设净成本现值之和+虚拟项目每年的运营维护净成本现值之和</w:t>
      </w:r>
    </w:p>
    <w:p w14:paraId="56A82D4D">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①</w:t>
      </w:r>
      <w:r>
        <w:rPr>
          <w:color w:val="000000" w:themeColor="text1"/>
          <w14:textFill>
            <w14:solidFill>
              <w14:schemeClr w14:val="tx1"/>
            </w14:solidFill>
          </w14:textFill>
        </w:rPr>
        <w:t>虚拟项目每年的建设净成本主要包括当年设计、建造、升级、改造、大修等方面投入的现金及固定资产、土地使用权等实物和无形资产的价值，并扣除虚拟项目全生命周期内产生的转让、租赁或处置资产所获的收益。考虑到社会资本方技术及管理运营优势，虚拟项目相对应成本上浮10%处理。</w:t>
      </w:r>
    </w:p>
    <w:p w14:paraId="29C45D0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虚拟项目第n年的建设净成本=第n年建设行为投入+第n年建设期利息–第n年资产处置行为收益</w:t>
      </w:r>
    </w:p>
    <w:p w14:paraId="2FCC7A7E">
      <w:pPr>
        <w:ind w:firstLine="560" w:firstLineChars="200"/>
        <w:rPr>
          <w:color w:val="000000" w:themeColor="text1"/>
          <w14:textFill>
            <w14:solidFill>
              <w14:schemeClr w14:val="tx1"/>
            </w14:solidFill>
          </w14:textFill>
        </w:rPr>
      </w:pPr>
      <w:r>
        <w:t>本项目合作期为</w:t>
      </w:r>
      <w:r>
        <w:rPr>
          <w:rFonts w:hint="eastAsia"/>
          <w:lang w:val="en-US" w:eastAsia="zh-CN"/>
        </w:rPr>
        <w:t>40</w:t>
      </w:r>
      <w:r>
        <w:t>年，其中，建设期</w:t>
      </w:r>
      <w:r>
        <w:rPr>
          <w:rFonts w:hint="eastAsia"/>
          <w:lang w:val="en-US" w:eastAsia="zh-CN"/>
        </w:rPr>
        <w:t>2</w:t>
      </w:r>
      <w:r>
        <w:t>年，运营期为3</w:t>
      </w:r>
      <w:r>
        <w:rPr>
          <w:rFonts w:hint="eastAsia"/>
          <w:lang w:val="en-US" w:eastAsia="zh-CN"/>
        </w:rPr>
        <w:t>8</w:t>
      </w:r>
      <w:r>
        <w:t>年。经计算，</w:t>
      </w:r>
      <w:r>
        <w:rPr>
          <w:color w:val="000000" w:themeColor="text1"/>
          <w14:textFill>
            <w14:solidFill>
              <w14:schemeClr w14:val="tx1"/>
            </w14:solidFill>
          </w14:textFill>
        </w:rPr>
        <w:t>虚拟项目建设期净成本现值之和为</w:t>
      </w:r>
      <w:r>
        <w:rPr>
          <w:rFonts w:hint="eastAsia"/>
          <w:color w:val="000000" w:themeColor="text1"/>
          <w:lang w:val="en-US" w:eastAsia="zh-CN"/>
          <w14:textFill>
            <w14:solidFill>
              <w14:schemeClr w14:val="tx1"/>
            </w14:solidFill>
          </w14:textFill>
        </w:rPr>
        <w:t>59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451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08</w:t>
      </w:r>
      <w:r>
        <w:rPr>
          <w:rFonts w:hint="eastAsia"/>
          <w:color w:val="000000" w:themeColor="text1"/>
          <w14:textFill>
            <w14:solidFill>
              <w14:schemeClr w14:val="tx1"/>
            </w14:solidFill>
          </w14:textFill>
        </w:rPr>
        <w:t>万元</w:t>
      </w:r>
      <w:r>
        <w:rPr>
          <w:color w:val="000000" w:themeColor="text1"/>
          <w14:textFill>
            <w14:solidFill>
              <w14:schemeClr w14:val="tx1"/>
            </w14:solidFill>
          </w14:textFill>
        </w:rPr>
        <w:t>。</w:t>
      </w:r>
    </w:p>
    <w:p w14:paraId="0350DFBE">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②</w:t>
      </w:r>
      <w:r>
        <w:rPr>
          <w:color w:val="000000" w:themeColor="text1"/>
          <w14:textFill>
            <w14:solidFill>
              <w14:schemeClr w14:val="tx1"/>
            </w14:solidFill>
          </w14:textFill>
        </w:rPr>
        <w:t>虚拟项目每年的运营维护净成本主要包括参照项目全生命周期内运营维护所需的原材料、设备、人工等成本，以及管理费用、销售费用和运营期财务费用等，并扣除假设虚拟项目与特许经营项目付费机制相同情况下能够获得的使用者付费收入等。考虑到社会资本方技术及管理运营优势，虚拟项目相对应成本上浮10%处理。</w:t>
      </w:r>
    </w:p>
    <w:p w14:paraId="32C819A7">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虚拟项目第n年的运营维护净成本=第n年运营维护成本+第n年财务费用–第n年使用者付费收入。</w:t>
      </w:r>
    </w:p>
    <w:p w14:paraId="47C4739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根据项目实际情况，本项目使用费付费收入按38年计算。</w:t>
      </w:r>
    </w:p>
    <w:p w14:paraId="580AA12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经计算，本项目运营期维护净成本现值之和为-49,640.47万元。</w:t>
      </w:r>
    </w:p>
    <w:p w14:paraId="2598DE1C">
      <w:pPr>
        <w:pStyle w:val="9"/>
        <w:numPr>
          <w:ilvl w:val="4"/>
          <w:numId w:val="62"/>
        </w:numPr>
        <w:bidi w:val="0"/>
        <w:ind w:left="1644" w:leftChars="0" w:hanging="1020" w:firstLineChars="0"/>
      </w:pPr>
      <w:bookmarkStart w:id="332" w:name="_Toc126657250"/>
      <w:r>
        <w:t>竞争性中立调整值的计算</w:t>
      </w:r>
      <w:bookmarkEnd w:id="332"/>
    </w:p>
    <w:p w14:paraId="4BF775DC">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竞争性中立调整值主要是采用政府传统投资运营方式比采用特许经营模式实施项目少支出的费用，包括少支出的土地费用、行政审批费用、有关税费等。</w:t>
      </w:r>
    </w:p>
    <w:p w14:paraId="6B845F5C">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本项目竞争性中立调整值为12,576.65万元。</w:t>
      </w:r>
    </w:p>
    <w:p w14:paraId="322FBE45">
      <w:pPr>
        <w:pStyle w:val="9"/>
        <w:numPr>
          <w:ilvl w:val="4"/>
          <w:numId w:val="62"/>
        </w:numPr>
        <w:bidi w:val="0"/>
        <w:ind w:left="1644" w:leftChars="0" w:hanging="1020" w:firstLineChars="0"/>
      </w:pPr>
      <w:bookmarkStart w:id="333" w:name="_Toc126657251"/>
      <w:r>
        <w:t>项目全部风险成本的计算</w:t>
      </w:r>
      <w:bookmarkEnd w:id="333"/>
    </w:p>
    <w:p w14:paraId="6C1B8DA6">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全部风险成本包括可转移给社会资本的风险承担成本和政府自留风险的承担成本，参照项目中，根据本特许经营方案的风险分配框架评估政府与社会资本的风险分担比例，政府自留风险按本项目建设和运营成本的10%为基数进行计算，比例为10%；政府可转移风险按本项目建设和运营成本的10%为基数进行计算，比例为90%。</w:t>
      </w:r>
    </w:p>
    <w:p w14:paraId="09595D2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综上，将合作期内每年的项目全部风险成本按3.65%的折现率折现至合作期初，得到项目全部风险成本的折现值为14,822.43万元。</w:t>
      </w:r>
    </w:p>
    <w:p w14:paraId="30154E08">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经计算，本项目PSC值为31,516.30万元</w:t>
      </w:r>
    </w:p>
    <w:p w14:paraId="7F731933">
      <w:pPr>
        <w:pStyle w:val="8"/>
        <w:rPr>
          <w:rFonts w:hint="eastAsia"/>
          <w:color w:val="000000" w:themeColor="text1"/>
          <w14:textFill>
            <w14:solidFill>
              <w14:schemeClr w14:val="tx1"/>
            </w14:solidFill>
          </w14:textFill>
        </w:rPr>
      </w:pPr>
      <w:bookmarkStart w:id="334" w:name="_Toc179371092"/>
      <w:bookmarkStart w:id="335" w:name="_Toc126657252"/>
      <w:bookmarkStart w:id="336" w:name="_Toc8510"/>
      <w:bookmarkStart w:id="337" w:name="_Toc8585"/>
      <w:r>
        <w:rPr>
          <w:rFonts w:hint="eastAsia"/>
          <w:color w:val="000000" w:themeColor="text1"/>
          <w14:textFill>
            <w14:solidFill>
              <w14:schemeClr w14:val="tx1"/>
            </w14:solidFill>
          </w14:textFill>
        </w:rPr>
        <w:t>计算PPP值</w:t>
      </w:r>
      <w:bookmarkEnd w:id="334"/>
      <w:bookmarkEnd w:id="335"/>
      <w:bookmarkEnd w:id="336"/>
      <w:bookmarkEnd w:id="337"/>
    </w:p>
    <w:p w14:paraId="44CDBA8D">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PPP值是指政府实施特许经营项目所承担的全生命周期成本的净现值。PPP值是以下四项成本的全生命周期现值之和：</w:t>
      </w:r>
    </w:p>
    <w:p w14:paraId="5E42D2F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（1）股权投资；</w:t>
      </w:r>
    </w:p>
    <w:p w14:paraId="1113061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（2）运营补贴；</w:t>
      </w:r>
    </w:p>
    <w:p w14:paraId="1DCF4646">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（3）风险承担；</w:t>
      </w:r>
    </w:p>
    <w:p w14:paraId="32C59790">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（4）配套投入。</w:t>
      </w:r>
      <w:r>
        <w:rPr>
          <w:rFonts w:hint="eastAsia"/>
          <w:color w:val="000000" w:themeColor="text1"/>
          <w:lang w:val="en-US" w:eastAsia="zh-CN"/>
          <w14:textFill>
            <w14:solidFill>
              <w14:schemeClr w14:val="tx1"/>
            </w14:solidFill>
          </w14:textFill>
        </w:rPr>
        <w:tab/>
      </w:r>
    </w:p>
    <w:p w14:paraId="4EB45E05">
      <w:pPr>
        <w:pStyle w:val="9"/>
        <w:numPr>
          <w:ilvl w:val="4"/>
          <w:numId w:val="63"/>
        </w:numPr>
        <w:bidi w:val="0"/>
        <w:ind w:left="1644" w:leftChars="0" w:hanging="1020" w:firstLineChars="0"/>
      </w:pPr>
      <w:bookmarkStart w:id="338" w:name="_Toc126657253"/>
      <w:r>
        <w:t>股权投资</w:t>
      </w:r>
      <w:bookmarkEnd w:id="338"/>
    </w:p>
    <w:p w14:paraId="62961858">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股权投资支出责任是指在政府与社会资本共同组建项目公司的情况下，财政部门承担的股权投资支出。</w:t>
      </w:r>
      <w:bookmarkStart w:id="339" w:name="_Toc126657255"/>
    </w:p>
    <w:p w14:paraId="77689FAD">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本项目股权投资为542.32万元。</w:t>
      </w:r>
    </w:p>
    <w:p w14:paraId="72AB074C">
      <w:pPr>
        <w:pStyle w:val="9"/>
        <w:numPr>
          <w:ilvl w:val="4"/>
          <w:numId w:val="63"/>
        </w:numPr>
        <w:bidi w:val="0"/>
        <w:ind w:left="1644" w:leftChars="0" w:hanging="1020" w:firstLineChars="0"/>
      </w:pPr>
      <w:r>
        <w:t>风险承担支出责任测算</w:t>
      </w:r>
      <w:bookmarkEnd w:id="339"/>
    </w:p>
    <w:p w14:paraId="0D92C414">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风险承担支出应充分考虑各类风险出现的概率和带来的支出责任，可采用比例法、情景分析法及概率法进行测算。</w:t>
      </w:r>
    </w:p>
    <w:p w14:paraId="2B7D98B6">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由于法律、政策、政治等风险方面由政府承担的风险较难准确量化及预测，因此，本项目采用比例法进行该部分财政支出的测算。</w:t>
      </w:r>
    </w:p>
    <w:p w14:paraId="0425623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考虑到环保类项目所处行业较为成熟，风险承担成本水平适中，结合其他同类项目经验数据，特许经营模式中全部风险成本按传统投资模式下项目的全部风险成本进行计算。</w:t>
      </w:r>
    </w:p>
    <w:p w14:paraId="7E79FB10">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传统政府投资模式中项目全部风险在项目合作期内按项目建设成本及运营维护成本之和的10%估算。考虑采用特许经营模式中，政府只承担部分政治、法律、不可抗力等风险，故项目的全部风险承担成本中，按照10%的比例计算政府自留风险承担成本，可转移给社会资本的风险承担成本占全部风险承担成本的90%。本项目的财政风险承担支出责任即政府自留风险承担成本，项目经营期内合计现值为1,482.24万元。</w:t>
      </w:r>
    </w:p>
    <w:p w14:paraId="11CE937E">
      <w:pPr>
        <w:pStyle w:val="9"/>
        <w:numPr>
          <w:ilvl w:val="4"/>
          <w:numId w:val="63"/>
        </w:numPr>
        <w:bidi w:val="0"/>
        <w:ind w:left="1644" w:leftChars="0" w:hanging="1020" w:firstLineChars="0"/>
      </w:pPr>
      <w:bookmarkStart w:id="340" w:name="_Toc126657256"/>
      <w:r>
        <w:rPr>
          <w:rFonts w:hint="eastAsia"/>
        </w:rPr>
        <w:t>运营补贴支出责任测算</w:t>
      </w:r>
    </w:p>
    <w:p w14:paraId="0F3DA7B8">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本项目回报机制为使用者付费，无政府运营补贴支出，本项目运营补贴支出=0万元。</w:t>
      </w:r>
    </w:p>
    <w:p w14:paraId="11DDC555">
      <w:pPr>
        <w:pStyle w:val="9"/>
        <w:numPr>
          <w:ilvl w:val="4"/>
          <w:numId w:val="63"/>
        </w:numPr>
        <w:bidi w:val="0"/>
        <w:ind w:left="1644" w:leftChars="0" w:hanging="1020" w:firstLineChars="0"/>
        <w:rPr>
          <w:rFonts w:hint="eastAsia"/>
        </w:rPr>
      </w:pPr>
      <w:r>
        <w:rPr>
          <w:rFonts w:hint="eastAsia"/>
        </w:rPr>
        <w:t>配套投入支出责任测算</w:t>
      </w:r>
      <w:bookmarkEnd w:id="340"/>
    </w:p>
    <w:p w14:paraId="4592D0B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本项目无政府配套支出责任。</w:t>
      </w:r>
    </w:p>
    <w:p w14:paraId="5B65D54A">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经计算，本项目PPP值为2,024.56万元</w:t>
      </w:r>
    </w:p>
    <w:p w14:paraId="0326F265">
      <w:pPr>
        <w:pStyle w:val="8"/>
        <w:rPr>
          <w:rFonts w:hint="eastAsia"/>
          <w:color w:val="000000" w:themeColor="text1"/>
          <w14:textFill>
            <w14:solidFill>
              <w14:schemeClr w14:val="tx1"/>
            </w14:solidFill>
          </w14:textFill>
        </w:rPr>
      </w:pPr>
      <w:bookmarkStart w:id="341" w:name="_Toc126657257"/>
      <w:bookmarkStart w:id="342" w:name="_Toc24208"/>
      <w:bookmarkStart w:id="343" w:name="_Toc179371093"/>
      <w:bookmarkStart w:id="344" w:name="_Toc31363"/>
      <w:bookmarkStart w:id="345" w:name="_Toc20949"/>
      <w:bookmarkStart w:id="346" w:name="_Toc23361"/>
      <w:r>
        <w:rPr>
          <w:rFonts w:hint="eastAsia"/>
          <w:color w:val="000000" w:themeColor="text1"/>
          <w14:textFill>
            <w14:solidFill>
              <w14:schemeClr w14:val="tx1"/>
            </w14:solidFill>
          </w14:textFill>
        </w:rPr>
        <w:t>物有所值定量评价结论</w:t>
      </w:r>
      <w:bookmarkEnd w:id="341"/>
      <w:bookmarkEnd w:id="342"/>
      <w:bookmarkEnd w:id="343"/>
      <w:bookmarkEnd w:id="344"/>
      <w:bookmarkEnd w:id="345"/>
      <w:bookmarkEnd w:id="346"/>
    </w:p>
    <w:p w14:paraId="74057A74">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本项目PPP值小于PSC值，通过物有所值论证，适宜采用政府和社会资本合作模式实施本项目。</w:t>
      </w:r>
    </w:p>
    <w:p w14:paraId="3F4DD830">
      <w:pPr>
        <w:pStyle w:val="6"/>
        <w:numPr>
          <w:ilvl w:val="3"/>
          <w:numId w:val="61"/>
        </w:numPr>
        <w:spacing w:before="156" w:after="156"/>
        <w:rPr>
          <w:color w:val="000000" w:themeColor="text1"/>
          <w14:textFill>
            <w14:solidFill>
              <w14:schemeClr w14:val="tx1"/>
            </w14:solidFill>
          </w14:textFill>
        </w:rPr>
      </w:pPr>
      <w:bookmarkStart w:id="347" w:name="bookmark243"/>
      <w:bookmarkEnd w:id="347"/>
      <w:bookmarkStart w:id="348" w:name="bookmark244"/>
      <w:bookmarkEnd w:id="348"/>
      <w:r>
        <w:rPr>
          <w:color w:val="000000" w:themeColor="text1"/>
          <w14:textFill>
            <w14:solidFill>
              <w14:schemeClr w14:val="tx1"/>
            </w14:solidFill>
          </w14:textFill>
        </w:rPr>
        <w:t>提高建设运营效率</w:t>
      </w:r>
    </w:p>
    <w:p w14:paraId="286B726B">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建立契约关系，保障项目各个环节透明高效</w:t>
      </w:r>
    </w:p>
    <w:p w14:paraId="3D114990">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在特许经营模式下，政府和</w:t>
      </w:r>
      <w:r>
        <w:rPr>
          <w:rFonts w:hint="eastAsia"/>
          <w:color w:val="000000" w:themeColor="text1"/>
          <w:lang w:val="en-US" w:eastAsia="zh-CN"/>
          <w14:textFill>
            <w14:solidFill>
              <w14:schemeClr w14:val="tx1"/>
            </w14:solidFill>
          </w14:textFill>
        </w:rPr>
        <w:t>项目公司</w:t>
      </w:r>
      <w:r>
        <w:rPr>
          <w:color w:val="000000" w:themeColor="text1"/>
          <w14:textFill>
            <w14:solidFill>
              <w14:schemeClr w14:val="tx1"/>
            </w14:solidFill>
          </w14:textFill>
        </w:rPr>
        <w:t>之间签订《特许经营协议》，建立契约关系，双方以平等的身份进行合作。在《特许经营协议》中约定清晰的产出或服务标准有效约束特许经营者，政府依照合同中的绩效考核指标对社会资本进行合同监管，并严格按照绩效考核结果进行付费或违约处罚；社会资本则根据合同获取回报并维护自己的正当权益。通过契约关系建立的运作机制，降低或消除了政企不分带来的寻租成本，提高整体运营效率。通过设定考核标准、奖惩机制、风险承担机制等，引导特许经营者基于绩效导向和利益驱动通过管理创新提高项目的建设运营。</w:t>
      </w:r>
    </w:p>
    <w:p w14:paraId="5B3FF938">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充分竞争，择优选择社会资本</w:t>
      </w:r>
    </w:p>
    <w:p w14:paraId="4048C65D">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根据财政部和发改委印发文件，结合现实情况，特许经营项目多为公开招标方式选择社会资本，公开、公平、公正，鼓励社会资本积极参与、充分竞争。优质的社会资本往往有着较多的业绩、丰富的建设和管理经验，能在公开竞争中脱颖而出。</w:t>
      </w:r>
      <w:r>
        <w:rPr>
          <w:rFonts w:hint="eastAsia"/>
          <w:color w:val="000000" w:themeColor="text1"/>
          <w14:textFill>
            <w14:solidFill>
              <w14:schemeClr w14:val="tx1"/>
            </w14:solidFill>
          </w14:textFill>
        </w:rPr>
        <w:t>垃圾焚烧</w:t>
      </w:r>
      <w:r>
        <w:rPr>
          <w:color w:val="000000" w:themeColor="text1"/>
          <w14:textFill>
            <w14:solidFill>
              <w14:schemeClr w14:val="tx1"/>
            </w14:solidFill>
          </w14:textFill>
        </w:rPr>
        <w:t>行业经过数年市场竞争，已经形成了大批有技术、有经验的社会资本。因此，政府在采购过程中，可以结合本项目实际情况，充分考虑项目建设和运营的需要，择优选择社会资本，利用其先进技术和管理经验，提高项目建设、运营维护的效率与质量，达到提高运营效率的目的。</w:t>
      </w:r>
    </w:p>
    <w:p w14:paraId="42EEC2A4">
      <w:pPr>
        <w:pStyle w:val="7"/>
        <w:ind w:firstLine="582"/>
        <w:rPr>
          <w:color w:val="000000" w:themeColor="text1"/>
          <w14:textFill>
            <w14:solidFill>
              <w14:schemeClr w14:val="tx1"/>
            </w14:solidFill>
          </w14:textFill>
        </w:rPr>
      </w:pPr>
      <w:r>
        <w:rPr>
          <w:rFonts w:ascii="仿宋" w:hAnsi="仿宋" w:cs="仿宋"/>
          <w:color w:val="000000" w:themeColor="text1"/>
          <w:spacing w:val="5"/>
          <w14:textFill>
            <w14:solidFill>
              <w14:schemeClr w14:val="tx1"/>
            </w14:solidFill>
          </w14:textFill>
        </w:rPr>
        <w:t>充分调动市场主体的市场化、专业化、规</w:t>
      </w:r>
      <w:r>
        <w:rPr>
          <w:rFonts w:ascii="仿宋" w:hAnsi="仿宋" w:cs="仿宋"/>
          <w:color w:val="000000" w:themeColor="text1"/>
          <w:spacing w:val="4"/>
          <w14:textFill>
            <w14:solidFill>
              <w14:schemeClr w14:val="tx1"/>
            </w14:solidFill>
          </w14:textFill>
        </w:rPr>
        <w:t>模化优势，提高基</w:t>
      </w:r>
      <w:r>
        <w:rPr>
          <w:rFonts w:ascii="仿宋" w:hAnsi="仿宋" w:cs="仿宋"/>
          <w:color w:val="000000" w:themeColor="text1"/>
          <w:spacing w:val="-3"/>
          <w14:textFill>
            <w14:solidFill>
              <w14:schemeClr w14:val="tx1"/>
            </w14:solidFill>
          </w14:textFill>
        </w:rPr>
        <w:t>础设施及公共服务的供给质量与供给效率</w:t>
      </w:r>
    </w:p>
    <w:p w14:paraId="5CADD3C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特许经营模式通过全生命周期整合，引导特许经营者统筹规划设计、施工建设、运营维护等各环节，利用其先进技术和管理经验，促进项目整体优化，降低项目全生命周期成本，避免传统政府投资模式下分散开展工作造成的工作衔接不畅，相互适应匹配不充分的状况。同时依靠市场化的竞争机制，打破地方行政性市场垄断，改变事业性质的落后管理方式；有助于消除政府与企业合作过程中在服务定价和风险分担方面的信息不对称，充分挖掘市场主体的潜力依靠合作方的专业化优势，充分调动社会资本创新能力，开发项目新型经营模式，实现资源优化配置与项目效益的最大化利用。</w:t>
      </w:r>
    </w:p>
    <w:p w14:paraId="13A2A76E">
      <w:pPr>
        <w:pStyle w:val="7"/>
        <w:ind w:firstLine="578"/>
        <w:rPr>
          <w:rFonts w:hint="eastAsia" w:ascii="仿宋" w:hAnsi="仿宋" w:cs="仿宋"/>
          <w:color w:val="000000" w:themeColor="text1"/>
          <w14:textFill>
            <w14:solidFill>
              <w14:schemeClr w14:val="tx1"/>
            </w14:solidFill>
          </w14:textFill>
        </w:rPr>
      </w:pPr>
      <w:r>
        <w:rPr>
          <w:rFonts w:ascii="仿宋" w:hAnsi="仿宋" w:cs="仿宋"/>
          <w:color w:val="000000" w:themeColor="text1"/>
          <w:spacing w:val="4"/>
          <w14:textFill>
            <w14:solidFill>
              <w14:schemeClr w14:val="tx1"/>
            </w14:solidFill>
          </w14:textFill>
        </w:rPr>
        <w:t>引入社会资本的资源，有效扩大公共产品的供给数量，形成</w:t>
      </w:r>
      <w:r>
        <w:rPr>
          <w:rFonts w:ascii="仿宋" w:hAnsi="仿宋" w:cs="仿宋"/>
          <w:color w:val="000000" w:themeColor="text1"/>
          <w:spacing w:val="-5"/>
          <w14:textFill>
            <w14:solidFill>
              <w14:schemeClr w14:val="tx1"/>
            </w14:solidFill>
          </w14:textFill>
        </w:rPr>
        <w:t>新的供给方式</w:t>
      </w:r>
    </w:p>
    <w:p w14:paraId="61FDDF88">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适度超前的公共基础设施对经济、社会和民生的保障作用是显著的。本项目采用特许经营模式一方面能够有效的引入</w:t>
      </w:r>
      <w:r>
        <w:rPr>
          <w:rFonts w:hint="eastAsia"/>
          <w:color w:val="000000" w:themeColor="text1"/>
          <w14:textFill>
            <w14:solidFill>
              <w14:schemeClr w14:val="tx1"/>
            </w14:solidFill>
          </w14:textFill>
        </w:rPr>
        <w:t>社会资本</w:t>
      </w:r>
      <w:r>
        <w:rPr>
          <w:color w:val="000000" w:themeColor="text1"/>
          <w14:textFill>
            <w14:solidFill>
              <w14:schemeClr w14:val="tx1"/>
            </w14:solidFill>
          </w14:textFill>
        </w:rPr>
        <w:t>以及与之相配套的金融机构的资源，弥补当期预算资金的不足，形成新的基础设施和公共服务的供给方式。社会资本可利用自身丰富的项目经验、规模化优势，充分发挥自身的专业技术优势和管理优势，提高项目的建设运营效率。此外，外部资金的介入，有助于解决理顺公共产品价格等体制问题，将公共投资的外部效益适度内置化，使有限的公共财力向弱势群体倾斜，推进公共服务的可持续发展。</w:t>
      </w:r>
    </w:p>
    <w:p w14:paraId="6375439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设置合理绩效考核，激励社会资本提高运营效率</w:t>
      </w:r>
    </w:p>
    <w:p w14:paraId="24ADDF6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为促使项目公司通过提高自身管理水平、提供高质量的公共产品和运营维护服务，本项目通过</w:t>
      </w:r>
      <w:r>
        <w:rPr>
          <w:rFonts w:hint="eastAsia"/>
          <w:color w:val="000000" w:themeColor="text1"/>
          <w:lang w:val="en-US" w:eastAsia="zh-CN"/>
          <w14:textFill>
            <w14:solidFill>
              <w14:schemeClr w14:val="tx1"/>
            </w14:solidFill>
          </w14:textFill>
        </w:rPr>
        <w:t>垃圾处理服务费</w:t>
      </w:r>
      <w:r>
        <w:rPr>
          <w:color w:val="000000" w:themeColor="text1"/>
          <w14:textFill>
            <w14:solidFill>
              <w14:schemeClr w14:val="tx1"/>
            </w14:solidFill>
          </w14:textFill>
        </w:rPr>
        <w:t>与绩效考核挂钩方案的设计，将对项目公司持续提供高质量运营服务实现有效约束。特许经营模式中通过建设运营效率提升的收益主要归特许经营者所有，将有效激励特许经营者提高建设运营维护效率、降低建设经营成本。</w:t>
      </w:r>
    </w:p>
    <w:p w14:paraId="3D5F4D94">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优化风险防范控制</w:t>
      </w:r>
    </w:p>
    <w:p w14:paraId="0C2FE93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通过特许经营模式可以分散项目建设和运营维护等商业风险以及不可抗力风险。在传统政府采购模式下，政府承担了上述大部分风险，采用特许经营模式按照风险分配优化、风险收益对等和风险可控等原则，综合考虑政府风险管理能力、项目回报机制和市场风险管理能力等要素，在政府和社会资本/项目公司间合理分配项目风险。原则上，项目设计、建造、财务和运营维护等商业风险由社会资本/项目公司承担，市级政府可控的法律法规及标准变更、政策等风险由政府承担，不可抗力、市级政府不可控的法律法规及标准变更等风险由政府和社会资本/项目公司共担。</w:t>
      </w:r>
    </w:p>
    <w:p w14:paraId="25133455">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特许经营模式按照风险分配优化、风险收益对等和风险可控等原则明确政府和项目公司的责任和风险分配，优化项目风险防范控制，可以有效降低传统政府直接投资模式下风险承担成本。</w:t>
      </w:r>
    </w:p>
    <w:p w14:paraId="6CCB67AF">
      <w:pPr>
        <w:pStyle w:val="6"/>
        <w:numPr>
          <w:ilvl w:val="3"/>
          <w:numId w:val="61"/>
        </w:numPr>
        <w:spacing w:before="156" w:after="156"/>
        <w:rPr>
          <w:color w:val="000000" w:themeColor="text1"/>
          <w14:textFill>
            <w14:solidFill>
              <w14:schemeClr w14:val="tx1"/>
            </w14:solidFill>
          </w14:textFill>
        </w:rPr>
      </w:pPr>
      <w:bookmarkStart w:id="349" w:name="bookmark245"/>
      <w:bookmarkEnd w:id="349"/>
      <w:bookmarkStart w:id="350" w:name="bookmark246"/>
      <w:bookmarkEnd w:id="350"/>
      <w:r>
        <w:rPr>
          <w:color w:val="000000" w:themeColor="text1"/>
          <w14:textFill>
            <w14:solidFill>
              <w14:schemeClr w14:val="tx1"/>
            </w14:solidFill>
          </w14:textFill>
        </w:rPr>
        <w:t>提升产出或服务效果</w:t>
      </w:r>
    </w:p>
    <w:p w14:paraId="5255975D">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新增就业和税收</w:t>
      </w:r>
    </w:p>
    <w:p w14:paraId="389CAF1D">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本项目投资规模大、生命周期长，项目除维持自身运行所需定员外，同时带动了相关行业的发展，为劳动就业提供了大量的机会，项目建成后，不仅吸收大量新成长劳动力，而且吸收了部分农业和工业转移的劳动力，间接增加就业岗位，促进区内就业，提升留存税收。项目建设对创建和谐社会起着积极的促进作用。</w:t>
      </w:r>
    </w:p>
    <w:p w14:paraId="6DF6CDB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提高项目管理规范水平</w:t>
      </w:r>
    </w:p>
    <w:p w14:paraId="303DD731">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在市场竞争机制下引入</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参与投资运营本项目，可以充分利用</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在技术、管理、经营、人才方面的优势，提升项目经营和管理整体水平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同时可以优化风险分担，实现资源的优化配置，充分利用</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的融资能力、技术力量、管理能力和经验，提高项目管理规范水平、运营服务水平、经济效益和社会效益。</w:t>
      </w:r>
    </w:p>
    <w:p w14:paraId="4F754F3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按效付费保障产</w:t>
      </w:r>
      <w:r>
        <w:rPr>
          <w:rFonts w:hint="eastAsia"/>
          <w:color w:val="000000" w:themeColor="text1"/>
          <w14:textFill>
            <w14:solidFill>
              <w14:schemeClr w14:val="tx1"/>
            </w14:solidFill>
          </w14:textFill>
        </w:rPr>
        <w:t>出(服务)效</w:t>
      </w:r>
      <w:r>
        <w:rPr>
          <w:color w:val="000000" w:themeColor="text1"/>
          <w14:textFill>
            <w14:solidFill>
              <w14:schemeClr w14:val="tx1"/>
            </w14:solidFill>
          </w14:textFill>
        </w:rPr>
        <w:t>果</w:t>
      </w:r>
    </w:p>
    <w:p w14:paraId="626BBCDA">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经初步测算，本项目的经营收入能够覆盖项目建设投资和运营成本，社会资本的收入完全来源于基础设施及公共服务的使用者，这种使用量付费的模式充分体现了特许经营模式的结果导向，以项目使用者的获得感来衡量产出效果，而且通过特许经营合同履约监管更有利于保证产出或服务的质量。在项目实施阶段，</w:t>
      </w:r>
      <w:r>
        <w:rPr>
          <w:rFonts w:hint="eastAsia"/>
          <w:color w:val="000000" w:themeColor="text1"/>
          <w14:textFill>
            <w14:solidFill>
              <w14:schemeClr w14:val="tx1"/>
            </w14:solidFill>
          </w14:textFill>
        </w:rPr>
        <w:t>实施机构</w:t>
      </w:r>
      <w:r>
        <w:rPr>
          <w:color w:val="000000" w:themeColor="text1"/>
          <w14:textFill>
            <w14:solidFill>
              <w14:schemeClr w14:val="tx1"/>
            </w14:solidFill>
          </w14:textFill>
        </w:rPr>
        <w:t>依据《特许经营协议》严格把控项目进度和质量，根据绩效考核标准评价项目公司的建设和运营状况，督促项目公司高效、优质地运营服务，保障项目产出效果。</w:t>
      </w:r>
    </w:p>
    <w:p w14:paraId="5A38DDEC">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鼓励创新</w:t>
      </w:r>
    </w:p>
    <w:p w14:paraId="52A681B2">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为促使项目公司通过提高自身管理水平、提供高质量的公共产品和运营维护服务，激励社会资本通过技术创新、管理创新和商业模式创新等提高投资收益，激发企业自主创新的动力和活力，增加企业研发和创新的投入，提升行业发展水平，提高经济运营效率并最终实现绩效导向的目标。</w:t>
      </w:r>
    </w:p>
    <w:p w14:paraId="58CA7722">
      <w:pPr>
        <w:pStyle w:val="6"/>
        <w:numPr>
          <w:ilvl w:val="3"/>
          <w:numId w:val="61"/>
        </w:numPr>
        <w:spacing w:before="156" w:after="156"/>
        <w:rPr>
          <w:color w:val="000000" w:themeColor="text1"/>
          <w14:textFill>
            <w14:solidFill>
              <w14:schemeClr w14:val="tx1"/>
            </w14:solidFill>
          </w14:textFill>
        </w:rPr>
      </w:pPr>
      <w:bookmarkStart w:id="351" w:name="bookmark248"/>
      <w:bookmarkEnd w:id="351"/>
      <w:bookmarkStart w:id="352" w:name="bookmark247"/>
      <w:bookmarkEnd w:id="352"/>
      <w:r>
        <w:rPr>
          <w:color w:val="000000" w:themeColor="text1"/>
          <w14:textFill>
            <w14:solidFill>
              <w14:schemeClr w14:val="tx1"/>
            </w14:solidFill>
          </w14:textFill>
        </w:rPr>
        <w:t>提高经济社会效益</w:t>
      </w:r>
    </w:p>
    <w:p w14:paraId="6A493BA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深化体制改革促进政企分开</w:t>
      </w:r>
    </w:p>
    <w:p w14:paraId="1682498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本项目采用特许经营模式，可以将政府的市场监管、公共服务职能，与社会资本的管理效率、技术创新动力有机结合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在平等参与、公开透明、诚信守约的原则下共同合作，有利于简政放权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减少政府对具体事务的过度参与，规避政府部门在项目经营管理上的短板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加强发展战略制定、社会管理、市场监管、绩效考核等职责，发扬政府部门在宏观调控方面的长处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推动解决政府职能错位、越位和缺位的问题，提升政府管理水平及公共服务效率。</w:t>
      </w:r>
    </w:p>
    <w:p w14:paraId="1F4B0A3F">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公建公营模式下政府和传统国有企业事业单位之间是上下级关系，属于行政化管理，在这种关系下，往往容易导致政企不分，不可能形成可预期的、稳定的合同关系。在这种模糊的政企边界之下，政府和企业之间无法建立起以绩效考核为依据的付费体系。而这都是特许经营模式的核心优势所在。在特许经营模式下，政府和</w:t>
      </w:r>
      <w:r>
        <w:rPr>
          <w:rFonts w:hint="eastAsia"/>
          <w:color w:val="000000" w:themeColor="text1"/>
          <w:lang w:val="en-US" w:eastAsia="zh-CN"/>
          <w14:textFill>
            <w14:solidFill>
              <w14:schemeClr w14:val="tx1"/>
            </w14:solidFill>
          </w14:textFill>
        </w:rPr>
        <w:t>项目公司</w:t>
      </w:r>
      <w:r>
        <w:rPr>
          <w:color w:val="000000" w:themeColor="text1"/>
          <w14:textFill>
            <w14:solidFill>
              <w14:schemeClr w14:val="tx1"/>
            </w14:solidFill>
          </w14:textFill>
        </w:rPr>
        <w:t>之间签订特许经营合同建立契约关系，双方以平等的身份进行合作。在契约型关系之下，公共服务是基于商业原则为基础来提供，政府依照合同中的绩效考核指标对社会资本进行合同监管，并严格按照绩效考核结果进行付费或违约处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社会资本则根据合同获取回报并维护自己的正当权益。政府与企业之间的边界清晰，划分责任成为可能。因此特许经营模式从根本上重构了政府和企业在提供基础设施和公共服务上的关系，政府重新回归公共利益的代表者和监管者的角色。政府通过依托市场力量履行公共职务职能，进一步深化基础设施投融资体制改革，负责执行与社会资本之间的合同，而不再承担与监管者身份无关的担保责任。政府和市场各归其位，各方主体的权利义务和风险分担回到市场均衡水平，降低或消除政企不分带来的管理成本，提高整体运营效率。</w:t>
      </w:r>
    </w:p>
    <w:p w14:paraId="1CD4DCB2">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丰富资金来源</w:t>
      </w:r>
    </w:p>
    <w:p w14:paraId="2D2348EB">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本项目是</w:t>
      </w:r>
      <w:r>
        <w:rPr>
          <w:rFonts w:hint="eastAsia"/>
          <w:color w:val="000000" w:themeColor="text1"/>
          <w14:textFill>
            <w14:solidFill>
              <w14:schemeClr w14:val="tx1"/>
            </w14:solidFill>
          </w14:textFill>
        </w:rPr>
        <w:t>包头市人民政府</w:t>
      </w:r>
      <w:r>
        <w:rPr>
          <w:color w:val="000000" w:themeColor="text1"/>
          <w14:textFill>
            <w14:solidFill>
              <w14:schemeClr w14:val="tx1"/>
            </w14:solidFill>
          </w14:textFill>
        </w:rPr>
        <w:t>负有提供责任的重要基础设施工程，通过特许经营模式引入社会资本承担项目的投融资、建设和运营维护等工作，综合使用地方政府投资支持和社会资本的财力，丰富项目资金来源渠道，弥补政府投资资金缺口，降低地方政府的财政负担，平滑年度间财政支出，可以有效解决本项目投资建设资金不足的问题。</w:t>
      </w:r>
    </w:p>
    <w:p w14:paraId="3DB1385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推进金融业市场化</w:t>
      </w:r>
    </w:p>
    <w:p w14:paraId="52CA1FD7">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特许经营模式鼓励项目融资、市场信用和项目自身平衡性切断政府信用担保，防范地方隐形债务，迫使金融机构必须管控风险，加强自身能力建设，不再依赖政府信用进行决策，而是有效整合项目信息判断项目盈利能力及还款能力主动识别、管理项目风险，实现从政府信用到项目信用的转变，真正通过市场机制强化金融业风控，减少系统性金融风险发生的可能性</w:t>
      </w:r>
      <w:r>
        <w:rPr>
          <w:rFonts w:hint="eastAsia"/>
          <w:color w:val="000000" w:themeColor="text1"/>
          <w14:textFill>
            <w14:solidFill>
              <w14:schemeClr w14:val="tx1"/>
            </w14:solidFill>
          </w14:textFill>
        </w:rPr>
        <w:t>。</w:t>
      </w:r>
    </w:p>
    <w:p w14:paraId="2F345F9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提升信息公开水平</w:t>
      </w:r>
    </w:p>
    <w:p w14:paraId="0743C73A">
      <w:pPr>
        <w:ind w:firstLine="560" w:firstLineChars="200"/>
        <w:rPr>
          <w:rFonts w:hint="eastAsia" w:ascii="仿宋" w:hAnsi="仿宋" w:cs="仿宋"/>
          <w:color w:val="000000" w:themeColor="text1"/>
          <w:szCs w:val="28"/>
          <w14:textFill>
            <w14:solidFill>
              <w14:schemeClr w14:val="tx1"/>
            </w14:solidFill>
          </w14:textFill>
        </w:rPr>
      </w:pPr>
      <w:r>
        <w:rPr>
          <w:color w:val="000000" w:themeColor="text1"/>
          <w14:textFill>
            <w14:solidFill>
              <w14:schemeClr w14:val="tx1"/>
            </w14:solidFill>
          </w14:textFill>
        </w:rPr>
        <w:t>特许经营模式较其他经济政策工具在信息公开层面将有大幅提升，信息基本上覆盖了项目全生命周期，其公开将大大促进信息互通、资源共享，有助于形成具有行业性参考意义的公共信息，进而打破信息孤岛的局面同时，项目信息的及时真实全面公开，使本项目的实施处于公众的监督之下,有助于保障和实现公民知情权、建议权和监督权的落实。此外，政府信息公开有利于破除权力运行的隐蔽性，为治理权力滥用和腐败提供预防机制。</w:t>
      </w:r>
    </w:p>
    <w:p w14:paraId="4E3EA55B">
      <w:pPr>
        <w:pStyle w:val="6"/>
        <w:numPr>
          <w:ilvl w:val="3"/>
          <w:numId w:val="61"/>
        </w:numPr>
        <w:spacing w:before="156" w:after="156"/>
        <w:rPr>
          <w:color w:val="000000" w:themeColor="text1"/>
          <w14:textFill>
            <w14:solidFill>
              <w14:schemeClr w14:val="tx1"/>
            </w14:solidFill>
          </w14:textFill>
        </w:rPr>
      </w:pPr>
      <w:bookmarkStart w:id="353" w:name="bookmark249"/>
      <w:bookmarkEnd w:id="353"/>
      <w:bookmarkStart w:id="354" w:name="bookmark250"/>
      <w:bookmarkEnd w:id="354"/>
      <w:r>
        <w:rPr>
          <w:color w:val="000000" w:themeColor="text1"/>
          <w14:textFill>
            <w14:solidFill>
              <w14:schemeClr w14:val="tx1"/>
            </w14:solidFill>
          </w14:textFill>
        </w:rPr>
        <w:t>比较优势论证小结</w:t>
      </w:r>
    </w:p>
    <w:p w14:paraId="545A711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本项目属于垃圾焚烧类项目，项目</w:t>
      </w:r>
      <w:r>
        <w:rPr>
          <w:rFonts w:hint="eastAsia"/>
          <w:color w:val="000000" w:themeColor="text1"/>
          <w:lang w:val="en-US" w:eastAsia="zh-CN"/>
          <w14:textFill>
            <w14:solidFill>
              <w14:schemeClr w14:val="tx1"/>
            </w14:solidFill>
          </w14:textFill>
        </w:rPr>
        <w:t>建设</w:t>
      </w:r>
      <w:r>
        <w:rPr>
          <w:rFonts w:hint="eastAsia"/>
          <w:color w:val="000000" w:themeColor="text1"/>
          <w14:textFill>
            <w14:solidFill>
              <w14:schemeClr w14:val="tx1"/>
            </w14:solidFill>
          </w14:textFill>
        </w:rPr>
        <w:t>不但能够有效完善垃圾处理基础设施建设，还能够从整体上起到“补短板”的作用，促进现代化基础设施体系的形成。同时本项目具有明确的使用者付费收入，能够覆盖项目建设投资和运营成本。在特许经营模式下，政府和</w:t>
      </w:r>
      <w:r>
        <w:rPr>
          <w:rFonts w:hint="eastAsia"/>
          <w:color w:val="000000" w:themeColor="text1"/>
          <w:lang w:val="en-US" w:eastAsia="zh-CN"/>
          <w14:textFill>
            <w14:solidFill>
              <w14:schemeClr w14:val="tx1"/>
            </w14:solidFill>
          </w14:textFill>
        </w:rPr>
        <w:t>项目公司</w:t>
      </w:r>
      <w:r>
        <w:rPr>
          <w:rFonts w:hint="eastAsia"/>
          <w:color w:val="000000" w:themeColor="text1"/>
          <w14:textFill>
            <w14:solidFill>
              <w14:schemeClr w14:val="tx1"/>
            </w14:solidFill>
          </w14:textFill>
        </w:rPr>
        <w:t>通过签订《特许经营协议》，在政府和企业之间建立“利益分享、风险共担、全程合作”的合作模式，形成“政府监管、企业运营、社会评价”的良性互动格局。在公共服务领域引入市场机制，进行城市基础设施的建设与运行，将适度的市场竞争引入城市基础设施领域，在实现社会福利、提高基础设施服务质量的同时也给企业带来合理的投资回报，同时也能够增强公共基础设施可持续运行的效率和能力。</w:t>
      </w:r>
    </w:p>
    <w:p w14:paraId="2CB27CA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与其他投资方式以及经济政策工具相比，特许经营模式还能有效解决政府在城市基础设施投资、建设、管理中面临的其他多方面问题：</w:t>
      </w:r>
    </w:p>
    <w:p w14:paraId="56656DC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（1）能够将政府的发展规划、市场监督、公共服务与社会资本的管理效率、技术创新有机结合，减少政府对微观事务的过度参与，提高公共事务质量与效率；</w:t>
      </w:r>
    </w:p>
    <w:p w14:paraId="0C3089D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（2）有利于创新投融资机制，拓宽社会资本投资渠道，增强经济增长内生动力；</w:t>
      </w:r>
    </w:p>
    <w:p w14:paraId="3D23BE5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（3）有利于推动各类资本互相融合、优势互补，促进投资主体多元化，发展混合所有制经济；</w:t>
      </w:r>
    </w:p>
    <w:p w14:paraId="1F49D7E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（4）同时加快政府职能转变，充分发挥市场配置资源的决定性作用；</w:t>
      </w:r>
    </w:p>
    <w:p w14:paraId="6EECEA5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（5）风险共担，</w:t>
      </w:r>
      <w:r>
        <w:rPr>
          <w:rFonts w:hint="eastAsia"/>
          <w:color w:val="000000" w:themeColor="text1"/>
          <w:lang w:val="en-US" w:eastAsia="zh-CN"/>
          <w14:textFill>
            <w14:solidFill>
              <w14:schemeClr w14:val="tx1"/>
            </w14:solidFill>
          </w14:textFill>
        </w:rPr>
        <w:t>全程合作</w:t>
      </w:r>
      <w:r>
        <w:rPr>
          <w:rFonts w:hint="eastAsia"/>
          <w:color w:val="000000" w:themeColor="text1"/>
          <w14:textFill>
            <w14:solidFill>
              <w14:schemeClr w14:val="tx1"/>
            </w14:solidFill>
          </w14:textFill>
        </w:rPr>
        <w:t>。</w:t>
      </w:r>
    </w:p>
    <w:p w14:paraId="11E736F8">
      <w:pPr>
        <w:ind w:firstLine="560" w:firstLineChars="200"/>
        <w:rPr>
          <w:rFonts w:hint="eastAsia" w:ascii="仿宋" w:hAnsi="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特许经营模式，与其他投资方式以及经济政策工具相比，可以起到降低项目全生命周期成本、提高本项目建设运营效率、优化风险防范控制、提升产出或服务效果及提高经济社会效益的效果。因此，本项目采用特许经营模式实施的必要性通过论证。</w:t>
      </w:r>
    </w:p>
    <w:p w14:paraId="6E348B74">
      <w:pPr>
        <w:pStyle w:val="5"/>
        <w:numPr>
          <w:ilvl w:val="2"/>
          <w:numId w:val="61"/>
        </w:numPr>
        <w:rPr>
          <w:color w:val="000000" w:themeColor="text1"/>
          <w14:textFill>
            <w14:solidFill>
              <w14:schemeClr w14:val="tx1"/>
            </w14:solidFill>
          </w14:textFill>
        </w:rPr>
      </w:pPr>
      <w:bookmarkStart w:id="355" w:name="_Toc18461"/>
      <w:bookmarkStart w:id="356" w:name="_Toc172"/>
      <w:r>
        <w:rPr>
          <w:rFonts w:hint="eastAsia"/>
          <w:color w:val="000000" w:themeColor="text1"/>
          <w14:textFill>
            <w14:solidFill>
              <w14:schemeClr w14:val="tx1"/>
            </w14:solidFill>
          </w14:textFill>
        </w:rPr>
        <w:t>参与意愿分析</w:t>
      </w:r>
      <w:bookmarkEnd w:id="355"/>
      <w:bookmarkEnd w:id="356"/>
    </w:p>
    <w:p w14:paraId="70D6C64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垃圾处理</w:t>
      </w:r>
      <w:r>
        <w:rPr>
          <w:color w:val="000000" w:themeColor="text1"/>
          <w14:textFill>
            <w14:solidFill>
              <w14:schemeClr w14:val="tx1"/>
            </w14:solidFill>
          </w14:textFill>
        </w:rPr>
        <w:t>是我国较早开展特许经营的行业之一，国内的行业市场化逐渐发展成熟，特许经营者市场已经培育发展起来，多年的市场化运作，已经形成竞争充分、模式成熟、市场成熟的特许经营者专业化市场环境。</w:t>
      </w:r>
      <w:r>
        <w:rPr>
          <w:rFonts w:hint="eastAsia"/>
          <w:color w:val="000000" w:themeColor="text1"/>
          <w14:textFill>
            <w14:solidFill>
              <w14:schemeClr w14:val="tx1"/>
            </w14:solidFill>
          </w14:textFill>
        </w:rPr>
        <w:t>垃圾处理</w:t>
      </w:r>
      <w:r>
        <w:rPr>
          <w:color w:val="000000" w:themeColor="text1"/>
          <w14:textFill>
            <w14:solidFill>
              <w14:schemeClr w14:val="tx1"/>
            </w14:solidFill>
          </w14:textFill>
        </w:rPr>
        <w:t>行业建设一直是特许经营者高度关注的基础设施领域，国内也形成了一批具有交通行业投资和建设经验的投资人，积累了丰富的资本，其经验可以继续在</w:t>
      </w:r>
      <w:r>
        <w:rPr>
          <w:rFonts w:hint="eastAsia"/>
          <w:color w:val="000000" w:themeColor="text1"/>
          <w14:textFill>
            <w14:solidFill>
              <w14:schemeClr w14:val="tx1"/>
            </w14:solidFill>
          </w14:textFill>
        </w:rPr>
        <w:t>垃圾处理</w:t>
      </w:r>
      <w:r>
        <w:rPr>
          <w:color w:val="000000" w:themeColor="text1"/>
          <w14:textFill>
            <w14:solidFill>
              <w14:schemeClr w14:val="tx1"/>
            </w14:solidFill>
          </w14:textFill>
        </w:rPr>
        <w:t>类特许经营项目中借鉴。</w:t>
      </w:r>
    </w:p>
    <w:p w14:paraId="7A820D7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本项目建设投资规模较大，社会效益明显，如能高质量完成本项目的建设，参与项目的社会资本的业绩和口碑也将随之提升，由此带来的隐性效益也将对社会资本产生较强的吸引力。</w:t>
      </w:r>
    </w:p>
    <w:p w14:paraId="6A4BE04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制定了合理的交易结构，项目边界条件清晰，回报机制明确，收益水平合理，项目公司可以通过本项目的建设、运营和管理，在提供优质、高效的公共服务的前提下，获得合理的建设投资回报和运营服务收益。</w:t>
      </w:r>
    </w:p>
    <w:p w14:paraId="7BE6FCD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符合《关于规范实施政府和社会资本合作新机制的指导意见》（国办函〔2023〕115号）限定的重点领域和聚焦使用者付费项目的政策文件要求。且本项目具有价格调整机制相对灵活、市场化程度相对较高、投资规模相对较大、需求长期稳定等特点，项目公司在以《特许经营协议》为主的合同体系下，可以通过项目的建设、运营获得垃圾处理费及发电收入，</w:t>
      </w:r>
      <w:r>
        <w:rPr>
          <w:rFonts w:hint="eastAsia"/>
          <w:color w:val="000000" w:themeColor="text1"/>
          <w:lang w:val="en-US" w:eastAsia="zh-CN"/>
          <w14:textFill>
            <w14:solidFill>
              <w14:schemeClr w14:val="tx1"/>
            </w14:solidFill>
          </w14:textFill>
        </w:rPr>
        <w:t>同时按照《包头市人民政府办公室关于印发生活垃圾处理运行补贴标准的通知》（包府办发〔2025〕80号）“炉排炉工艺处理补贴最高不超过170元/吨（不含收运）”，本项目符合《国家发展改革委办公厅关于进一步做好政府和社会资本合作新机制项目规范实施工作的通知》（发改办投资〔2024〕1013号）“对拟在运营期按规定补贴运营的项目，要按照地市级以上人民政府或其行业主管部门制定的补贴政策及具体标准执行，并在特许经营方案中明确相关依据。”之要求，故</w:t>
      </w:r>
      <w:r>
        <w:rPr>
          <w:rFonts w:hint="eastAsia"/>
          <w:color w:val="000000" w:themeColor="text1"/>
          <w14:textFill>
            <w14:solidFill>
              <w14:schemeClr w14:val="tx1"/>
            </w14:solidFill>
          </w14:textFill>
        </w:rPr>
        <w:t>稳定的现金流可以让社会资本在偿还基础设施建设的债务和覆盖运营成本的前提下获得一定的投资收益，对市场上潜在的社会资本有较大的吸引力。从竞争和市场角度看，本项目采用特许经营模式是可行的。</w:t>
      </w:r>
    </w:p>
    <w:p w14:paraId="677EE580">
      <w:pPr>
        <w:pStyle w:val="5"/>
        <w:numPr>
          <w:ilvl w:val="2"/>
          <w:numId w:val="61"/>
        </w:numPr>
        <w:rPr>
          <w:color w:val="000000" w:themeColor="text1"/>
          <w14:textFill>
            <w14:solidFill>
              <w14:schemeClr w14:val="tx1"/>
            </w14:solidFill>
          </w14:textFill>
        </w:rPr>
      </w:pPr>
      <w:bookmarkStart w:id="357" w:name="_Toc663"/>
      <w:bookmarkStart w:id="358" w:name="_Toc12434"/>
      <w:r>
        <w:rPr>
          <w:color w:val="000000" w:themeColor="text1"/>
          <w14:textFill>
            <w14:solidFill>
              <w14:schemeClr w14:val="tx1"/>
            </w14:solidFill>
          </w14:textFill>
        </w:rPr>
        <w:t>合法合规性分析</w:t>
      </w:r>
      <w:bookmarkEnd w:id="357"/>
      <w:bookmarkEnd w:id="358"/>
    </w:p>
    <w:p w14:paraId="40464CF5">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2023年11月，国务院办公厅转发国家发展改革委、财政部《关于规范实施政府和社会资本合作新机制的指导意见》（国办函〔2023〕115号），政府和社会资本合作项目应聚焦使用者付费项目，明确收费渠道和方式，项目经营收入能够覆盖建设投资和运营成本、具备一定投资回报，不因采用政府和社会资本合作模式额外新增地方财政未来支出责任。政府可在严防新增地方政府隐性债务、符合法律法规和有关政策规定要求的前提下，按照一视同仁的原则，在项目建设期对使用者付费项目给予政府投资支持；政府付费只能按规定补贴运营、不能补贴建设成本。除此之外，不得通过可行性缺口补助、承诺保底收益率、可用性付费等任何方式，使用财政资金弥补项目建设和运营成本。</w:t>
      </w:r>
    </w:p>
    <w:p w14:paraId="2D01FC82">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家发展改革委、财政部、住房城乡建设部、交通运输部、水利部、人民银行《基础设施和公用事业特许经营管理办法》2015年6月1日：鼓励和引导社会资本参与中华人民共和国境内的能源、交通运输、水利、环境保护、市政工程等基础设施和公用事业领域的特许经营活动，提高公共服务质量和效率保障社会公共利益和公共安全，促进经济社会持续健康发展。</w:t>
      </w:r>
    </w:p>
    <w:p w14:paraId="77067B17">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家发展改革委办公厅关于进一步做好政府和社会资本合作新机制项目规范实施工作的通知》（发改办投资〔2024〕1013号）“对拟在运营期按规定补贴运营的项目，要按照地市级以上人民政府或其行业主管部门制定的补贴政策及具体标准执行，并在特许经营方案中明确相关依据。”，包头市出台的生活垃圾处理运行补贴符合相关要求。</w:t>
      </w:r>
    </w:p>
    <w:p w14:paraId="32DA540D">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从符合规划角度分析，本项目已被列入《内蒙古自治区生活垃圾焚烧发电中长期规划》（2021-2030），是内蒙古自治区“十四五”期间重点项目。</w:t>
      </w:r>
    </w:p>
    <w:p w14:paraId="77398D7F">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从项目所述领域分析，</w:t>
      </w:r>
      <w:r>
        <w:rPr>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生活</w:t>
      </w:r>
      <w:r>
        <w:rPr>
          <w:rFonts w:hint="eastAsia"/>
          <w:color w:val="000000" w:themeColor="text1"/>
          <w14:textFill>
            <w14:solidFill>
              <w14:schemeClr w14:val="tx1"/>
            </w14:solidFill>
          </w14:textFill>
        </w:rPr>
        <w:t>垃圾焚烧发电</w:t>
      </w:r>
      <w:r>
        <w:rPr>
          <w:color w:val="000000" w:themeColor="text1"/>
          <w14:textFill>
            <w14:solidFill>
              <w14:schemeClr w14:val="tx1"/>
            </w14:solidFill>
          </w14:textFill>
        </w:rPr>
        <w:t>项目，符合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限定的重点领域</w:t>
      </w:r>
      <w:r>
        <w:rPr>
          <w:rFonts w:hint="eastAsia"/>
          <w:color w:val="000000" w:themeColor="text1"/>
          <w14:textFill>
            <w14:solidFill>
              <w14:schemeClr w14:val="tx1"/>
            </w14:solidFill>
          </w14:textFill>
        </w:rPr>
        <w:t>。</w:t>
      </w:r>
    </w:p>
    <w:p w14:paraId="0A37433C">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从项目收费渠道分析，本项目垃圾处理运行服务费来源为居民与非居民按规定缴纳的垃圾处理费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同时本工程投产后向电网输送电力，可获得获得一定收益，用以维持焚烧厂的正常运行，</w:t>
      </w:r>
      <w:r>
        <w:rPr>
          <w:color w:val="000000" w:themeColor="text1"/>
          <w14:textFill>
            <w14:solidFill>
              <w14:schemeClr w14:val="tx1"/>
            </w14:solidFill>
          </w14:textFill>
        </w:rPr>
        <w:t>收费渠道和方式合法合规。</w:t>
      </w:r>
      <w:r>
        <w:rPr>
          <w:rFonts w:hint="eastAsia"/>
          <w:color w:val="000000" w:themeColor="text1"/>
          <w:lang w:val="en-US" w:eastAsia="zh-CN"/>
          <w14:textFill>
            <w14:solidFill>
              <w14:schemeClr w14:val="tx1"/>
            </w14:solidFill>
          </w14:textFill>
        </w:rPr>
        <w:t>发电收入</w:t>
      </w:r>
      <w:r>
        <w:rPr>
          <w:color w:val="000000" w:themeColor="text1"/>
          <w14:textFill>
            <w14:solidFill>
              <w14:schemeClr w14:val="tx1"/>
            </w14:solidFill>
          </w14:textFill>
        </w:rPr>
        <w:t>可以覆盖项目投资成本</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运行补贴仅补贴运营，不补贴建设，</w:t>
      </w:r>
      <w:r>
        <w:rPr>
          <w:color w:val="000000" w:themeColor="text1"/>
          <w14:textFill>
            <w14:solidFill>
              <w14:schemeClr w14:val="tx1"/>
            </w14:solidFill>
          </w14:textFill>
        </w:rPr>
        <w:t>政府方不提供可行性缺口补助，不承诺特许经营者和项目公司最低收益水平等，符合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要求的聚焦使用者付费项目的相关要求。</w:t>
      </w:r>
    </w:p>
    <w:p w14:paraId="051AFF36">
      <w:pPr>
        <w:ind w:firstLine="560" w:firstLineChars="200"/>
        <w:rPr>
          <w:rFonts w:hint="eastAsia" w:ascii="仿宋" w:hAnsi="仿宋" w:cs="仿宋"/>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从特许经营范围分析，</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为新建</w:t>
      </w:r>
      <w:r>
        <w:rPr>
          <w:rFonts w:hint="eastAsia" w:ascii="仿宋" w:hAnsi="仿宋" w:cs="仿宋"/>
          <w:color w:val="000000" w:themeColor="text1"/>
          <w14:textFill>
            <w14:solidFill>
              <w14:schemeClr w14:val="tx1"/>
            </w14:solidFill>
          </w14:textFill>
        </w:rPr>
        <w:t>垃圾焚烧发电设施，特许经营合作范围和项目产出界面清晰，符合《关于规范实施政府和社会资本合作新机制的指导意见》（国办函〔2023〕115号）“明确约定建设和运营期间的资产权属，清晰界定各方权责利关系”的相关要求。</w:t>
      </w:r>
    </w:p>
    <w:p w14:paraId="381BAD1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综上分析，本项目采用特许经营模式实施合法合规。</w:t>
      </w:r>
    </w:p>
    <w:p w14:paraId="18CB2C6F">
      <w:pPr>
        <w:pStyle w:val="5"/>
        <w:numPr>
          <w:ilvl w:val="2"/>
          <w:numId w:val="61"/>
        </w:numPr>
        <w:rPr>
          <w:color w:val="000000" w:themeColor="text1"/>
          <w14:textFill>
            <w14:solidFill>
              <w14:schemeClr w14:val="tx1"/>
            </w14:solidFill>
          </w14:textFill>
        </w:rPr>
      </w:pPr>
      <w:bookmarkStart w:id="359" w:name="_Toc7221"/>
      <w:bookmarkStart w:id="360" w:name="_Toc28474"/>
      <w:r>
        <w:rPr>
          <w:color w:val="000000" w:themeColor="text1"/>
          <w14:textFill>
            <w14:solidFill>
              <w14:schemeClr w14:val="tx1"/>
            </w14:solidFill>
          </w14:textFill>
        </w:rPr>
        <w:t>特许经营风险分析</w:t>
      </w:r>
      <w:bookmarkEnd w:id="359"/>
      <w:bookmarkEnd w:id="360"/>
    </w:p>
    <w:p w14:paraId="45746E33">
      <w:pPr>
        <w:ind w:firstLine="560" w:firstLineChars="200"/>
        <w:rPr>
          <w:rFonts w:hint="eastAsia" w:ascii="仿宋" w:hAnsi="仿宋" w:cs="仿宋"/>
          <w:color w:val="000000" w:themeColor="text1"/>
          <w14:textFill>
            <w14:solidFill>
              <w14:schemeClr w14:val="tx1"/>
            </w14:solidFill>
          </w14:textFill>
        </w:rPr>
      </w:pPr>
      <w:r>
        <w:rPr>
          <w:color w:val="000000" w:themeColor="text1"/>
          <w14:textFill>
            <w14:solidFill>
              <w14:schemeClr w14:val="tx1"/>
            </w14:solidFill>
          </w14:textFill>
        </w:rPr>
        <w:t>根</w:t>
      </w:r>
      <w:r>
        <w:rPr>
          <w:rFonts w:hint="eastAsia" w:ascii="仿宋" w:hAnsi="仿宋" w:cs="仿宋"/>
          <w:color w:val="000000" w:themeColor="text1"/>
          <w14:textFill>
            <w14:solidFill>
              <w14:schemeClr w14:val="tx1"/>
            </w14:solidFill>
          </w14:textFill>
        </w:rPr>
        <w:t>据《关于规范实施政府和社会资本合作新机制的指导意见》（国办函〔2023〕115号）的相关要求“特许经营项目要聚焦使用者付费，针对相关补助或补贴，需要在符合法律法规和有关政策规定的要求下，按照一视同仁的原则，在项目建设期对使用者付费项目给予政府投资支持；政府付费只能按规定补贴运营、不能补贴建设成本”。</w:t>
      </w:r>
    </w:p>
    <w:p w14:paraId="1EB46622">
      <w:pPr>
        <w:ind w:firstLine="560" w:firstLineChars="20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本项目在特许经营期限内，项目使用者付费可以覆盖项目投资成本、运维成本以及合理收益，属于“使用者付费”。在建设期内，政府方不提供任何投资支持；在运营期内，</w:t>
      </w:r>
      <w:r>
        <w:rPr>
          <w:rFonts w:hint="eastAsia" w:ascii="仿宋" w:hAnsi="仿宋" w:cs="仿宋"/>
          <w:color w:val="000000" w:themeColor="text1"/>
          <w:lang w:val="en-US" w:eastAsia="zh-CN"/>
          <w14:textFill>
            <w14:solidFill>
              <w14:schemeClr w14:val="tx1"/>
            </w14:solidFill>
          </w14:textFill>
        </w:rPr>
        <w:t>政府按照《包头市生活垃圾处理运行补贴标准》执行</w:t>
      </w:r>
      <w:r>
        <w:rPr>
          <w:rFonts w:hint="eastAsia" w:ascii="仿宋" w:hAnsi="仿宋" w:cs="仿宋"/>
          <w:color w:val="000000" w:themeColor="text1"/>
          <w14:textFill>
            <w14:solidFill>
              <w14:schemeClr w14:val="tx1"/>
            </w14:solidFill>
          </w14:textFill>
        </w:rPr>
        <w:t>，不提供可行性缺口补助，不承诺特许经营者和项目公司最低收益水平。</w:t>
      </w:r>
    </w:p>
    <w:p w14:paraId="09BEE465">
      <w:pPr>
        <w:ind w:firstLine="560" w:firstLineChars="200"/>
        <w:rPr>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根据风险识别，本项目主要风险为收费标准与计费方式调整的风险、投资变化风险、垃圾处理量变化风险。由此产生的风险，可能会导致本项目不符合上述《关于规范实施政府和社会资本合作新机制的指导意见》（国办函〔2023〕115号）的相关要求。但通过对项目风险进行合理分配，上述项目风险基本可控，具体情况如下：</w:t>
      </w:r>
    </w:p>
    <w:p w14:paraId="7B4CB973">
      <w:pPr>
        <w:pStyle w:val="6"/>
        <w:numPr>
          <w:ilvl w:val="3"/>
          <w:numId w:val="61"/>
        </w:numPr>
        <w:spacing w:before="156" w:after="156"/>
        <w:rPr>
          <w:color w:val="000000" w:themeColor="text1"/>
          <w14:textFill>
            <w14:solidFill>
              <w14:schemeClr w14:val="tx1"/>
            </w14:solidFill>
          </w14:textFill>
        </w:rPr>
      </w:pPr>
      <w:bookmarkStart w:id="361" w:name="_Toc1899"/>
      <w:r>
        <w:rPr>
          <w:color w:val="000000" w:themeColor="text1"/>
          <w14:textFill>
            <w14:solidFill>
              <w14:schemeClr w14:val="tx1"/>
            </w14:solidFill>
          </w14:textFill>
        </w:rPr>
        <w:t>收费标准和计费方式调整风险</w:t>
      </w:r>
      <w:bookmarkEnd w:id="361"/>
    </w:p>
    <w:p w14:paraId="49736AE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建议包头市人民政府</w:t>
      </w:r>
      <w:r>
        <w:rPr>
          <w:rFonts w:hint="eastAsia"/>
          <w:color w:val="000000" w:themeColor="text1"/>
          <w:lang w:val="en-US" w:eastAsia="zh-CN"/>
          <w14:textFill>
            <w14:solidFill>
              <w14:schemeClr w14:val="tx1"/>
            </w14:solidFill>
          </w14:textFill>
        </w:rPr>
        <w:t>加强垃圾处理费收费监管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w:t>
      </w:r>
      <w:r>
        <w:rPr>
          <w:rFonts w:hint="eastAsia"/>
          <w:color w:val="000000" w:themeColor="text1"/>
          <w14:textFill>
            <w14:solidFill>
              <w14:schemeClr w14:val="tx1"/>
            </w14:solidFill>
          </w14:textFill>
        </w:rPr>
        <w:t>保障在运营过程中项目公司可获得相对稳定的收入来源。</w:t>
      </w:r>
    </w:p>
    <w:p w14:paraId="6BD9497A">
      <w:pPr>
        <w:pStyle w:val="6"/>
        <w:numPr>
          <w:ilvl w:val="3"/>
          <w:numId w:val="61"/>
        </w:numPr>
        <w:spacing w:before="156" w:after="156"/>
        <w:rPr>
          <w:color w:val="000000" w:themeColor="text1"/>
          <w14:textFill>
            <w14:solidFill>
              <w14:schemeClr w14:val="tx1"/>
            </w14:solidFill>
          </w14:textFill>
        </w:rPr>
      </w:pPr>
      <w:bookmarkStart w:id="362" w:name="_Toc9228"/>
      <w:r>
        <w:rPr>
          <w:color w:val="000000" w:themeColor="text1"/>
          <w14:textFill>
            <w14:solidFill>
              <w14:schemeClr w14:val="tx1"/>
            </w14:solidFill>
          </w14:textFill>
        </w:rPr>
        <w:t>投资变化风险</w:t>
      </w:r>
      <w:bookmarkEnd w:id="362"/>
    </w:p>
    <w:p w14:paraId="09E4CF8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目前，项目</w:t>
      </w:r>
      <w:r>
        <w:rPr>
          <w:rFonts w:hint="eastAsia"/>
          <w:color w:val="000000" w:themeColor="text1"/>
          <w:lang w:val="en-US" w:eastAsia="zh-CN"/>
          <w14:textFill>
            <w14:solidFill>
              <w14:schemeClr w14:val="tx1"/>
            </w14:solidFill>
          </w14:textFill>
        </w:rPr>
        <w:t>估算已经确定</w:t>
      </w:r>
      <w:r>
        <w:rPr>
          <w:color w:val="000000" w:themeColor="text1"/>
          <w14:textFill>
            <w14:solidFill>
              <w14:schemeClr w14:val="tx1"/>
            </w14:solidFill>
          </w14:textFill>
        </w:rPr>
        <w:t>，随着后续工作的逐步推进，其投资变化风险相对较小且可控，且项目公司在项目建设过程中应当实施项目造价管理，严格执行批复概算，承担项目投资费用控制的责任。</w:t>
      </w:r>
    </w:p>
    <w:p w14:paraId="29FAFC03">
      <w:pPr>
        <w:pStyle w:val="6"/>
        <w:numPr>
          <w:ilvl w:val="3"/>
          <w:numId w:val="61"/>
        </w:numPr>
        <w:spacing w:before="156" w:after="156"/>
        <w:rPr>
          <w:color w:val="000000" w:themeColor="text1"/>
          <w14:textFill>
            <w14:solidFill>
              <w14:schemeClr w14:val="tx1"/>
            </w14:solidFill>
          </w14:textFill>
        </w:rPr>
      </w:pPr>
      <w:bookmarkStart w:id="363" w:name="_Toc24590"/>
      <w:r>
        <w:rPr>
          <w:rFonts w:hint="eastAsia"/>
          <w:color w:val="000000" w:themeColor="text1"/>
          <w14:textFill>
            <w14:solidFill>
              <w14:schemeClr w14:val="tx1"/>
            </w14:solidFill>
          </w14:textFill>
        </w:rPr>
        <w:t>垃圾处理量变化风险</w:t>
      </w:r>
      <w:bookmarkEnd w:id="363"/>
    </w:p>
    <w:p w14:paraId="1CA2C3E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w:t>
      </w:r>
      <w:r>
        <w:rPr>
          <w:color w:val="000000" w:themeColor="text1"/>
          <w14:textFill>
            <w14:solidFill>
              <w14:schemeClr w14:val="tx1"/>
            </w14:solidFill>
          </w14:textFill>
        </w:rPr>
        <w:t>通过分析，项目运营期间内垃圾</w:t>
      </w:r>
      <w:r>
        <w:rPr>
          <w:rFonts w:hint="eastAsia"/>
          <w:color w:val="000000" w:themeColor="text1"/>
          <w14:textFill>
            <w14:solidFill>
              <w14:schemeClr w14:val="tx1"/>
            </w14:solidFill>
          </w14:textFill>
        </w:rPr>
        <w:t>产生</w:t>
      </w:r>
      <w:r>
        <w:rPr>
          <w:color w:val="000000" w:themeColor="text1"/>
          <w14:textFill>
            <w14:solidFill>
              <w14:schemeClr w14:val="tx1"/>
            </w14:solidFill>
          </w14:textFill>
        </w:rPr>
        <w:t>量相对稳定，</w:t>
      </w:r>
      <w:r>
        <w:rPr>
          <w:rFonts w:hint="eastAsia"/>
          <w:color w:val="000000" w:themeColor="text1"/>
          <w14:textFill>
            <w14:solidFill>
              <w14:schemeClr w14:val="tx1"/>
            </w14:solidFill>
          </w14:textFill>
        </w:rPr>
        <w:t>但</w:t>
      </w:r>
      <w:r>
        <w:rPr>
          <w:color w:val="000000" w:themeColor="text1"/>
          <w14:textFill>
            <w14:solidFill>
              <w14:schemeClr w14:val="tx1"/>
            </w14:solidFill>
          </w14:textFill>
        </w:rPr>
        <w:t>政府不保证实际垃圾量与预测垃圾量相符，其风险由特许经营者承担，特许经营者须谨慎考虑相关风险后参与本项目投标。</w:t>
      </w:r>
    </w:p>
    <w:p w14:paraId="2B41387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综上所述，本项目采用特许经营模式风险相对可控。</w:t>
      </w:r>
    </w:p>
    <w:p w14:paraId="00205A78">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743B5F45">
      <w:pPr>
        <w:pStyle w:val="3"/>
        <w:numPr>
          <w:ilvl w:val="0"/>
          <w:numId w:val="0"/>
        </w:numPr>
        <w:outlineLvl w:val="1"/>
        <w:rPr>
          <w:color w:val="000000" w:themeColor="text1"/>
          <w14:textFill>
            <w14:solidFill>
              <w14:schemeClr w14:val="tx1"/>
            </w14:solidFill>
          </w14:textFill>
        </w:rPr>
      </w:pPr>
      <w:bookmarkStart w:id="364" w:name="_Toc2981"/>
      <w:bookmarkStart w:id="365" w:name="_Toc12360"/>
      <w:r>
        <w:rPr>
          <w:rFonts w:hint="eastAsia"/>
          <w:color w:val="000000" w:themeColor="text1"/>
          <w14:textFill>
            <w14:solidFill>
              <w14:schemeClr w14:val="tx1"/>
            </w14:solidFill>
          </w14:textFill>
        </w:rPr>
        <w:t>第四部分</w:t>
      </w:r>
      <w:r>
        <w:rPr>
          <w:color w:val="000000" w:themeColor="text1"/>
          <w14:textFill>
            <w14:solidFill>
              <w14:schemeClr w14:val="tx1"/>
            </w14:solidFill>
          </w14:textFill>
        </w:rPr>
        <w:t>特许经营主要内容</w:t>
      </w:r>
      <w:bookmarkEnd w:id="364"/>
      <w:bookmarkEnd w:id="365"/>
    </w:p>
    <w:p w14:paraId="24C2C451">
      <w:pPr>
        <w:pStyle w:val="5"/>
        <w:numPr>
          <w:ilvl w:val="2"/>
          <w:numId w:val="64"/>
        </w:numPr>
        <w:rPr>
          <w:color w:val="000000" w:themeColor="text1"/>
          <w14:textFill>
            <w14:solidFill>
              <w14:schemeClr w14:val="tx1"/>
            </w14:solidFill>
          </w14:textFill>
        </w:rPr>
      </w:pPr>
      <w:bookmarkStart w:id="366" w:name="_Toc8942"/>
      <w:bookmarkStart w:id="367" w:name="_Toc17677"/>
      <w:r>
        <w:rPr>
          <w:color w:val="000000" w:themeColor="text1"/>
          <w14:textFill>
            <w14:solidFill>
              <w14:schemeClr w14:val="tx1"/>
            </w14:solidFill>
          </w14:textFill>
        </w:rPr>
        <w:t>特许经营范围</w:t>
      </w:r>
      <w:bookmarkEnd w:id="366"/>
      <w:bookmarkEnd w:id="367"/>
    </w:p>
    <w:p w14:paraId="5EF22F04">
      <w:pPr>
        <w:pStyle w:val="6"/>
        <w:numPr>
          <w:ilvl w:val="3"/>
          <w:numId w:val="64"/>
        </w:numPr>
        <w:spacing w:before="156" w:after="15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特许经营范围</w:t>
      </w:r>
    </w:p>
    <w:p w14:paraId="75CA2A5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特许经营</w:t>
      </w:r>
      <w:r>
        <w:rPr>
          <w:rFonts w:hint="eastAsia"/>
          <w:color w:val="000000" w:themeColor="text1"/>
          <w14:textFill>
            <w14:solidFill>
              <w14:schemeClr w14:val="tx1"/>
            </w14:solidFill>
          </w14:textFill>
        </w:rPr>
        <w:t>范围为</w:t>
      </w:r>
      <w:r>
        <w:rPr>
          <w:color w:val="000000" w:themeColor="text1"/>
          <w14:textFill>
            <w14:solidFill>
              <w14:schemeClr w14:val="tx1"/>
            </w14:solidFill>
          </w14:textFill>
        </w:rPr>
        <w:t>包头市生活垃圾处理中心及东河生活垃圾填埋场原服务范围。即青山区钢铁大街以北、东河区、石拐区、部分九原区。</w:t>
      </w:r>
    </w:p>
    <w:p w14:paraId="59D8068B">
      <w:pPr>
        <w:pStyle w:val="6"/>
        <w:numPr>
          <w:ilvl w:val="3"/>
          <w:numId w:val="64"/>
        </w:numPr>
        <w:spacing w:before="156" w:after="156"/>
        <w:rPr>
          <w:color w:val="000000" w:themeColor="text1"/>
          <w14:textFill>
            <w14:solidFill>
              <w14:schemeClr w14:val="tx1"/>
            </w14:solidFill>
          </w14:textFill>
        </w:rPr>
      </w:pPr>
      <w:bookmarkStart w:id="368" w:name="_Toc2033"/>
      <w:r>
        <w:rPr>
          <w:color w:val="000000" w:themeColor="text1"/>
          <w14:textFill>
            <w14:solidFill>
              <w14:schemeClr w14:val="tx1"/>
            </w14:solidFill>
          </w14:textFill>
        </w:rPr>
        <w:t>运营内容</w:t>
      </w:r>
      <w:bookmarkEnd w:id="368"/>
    </w:p>
    <w:p w14:paraId="4F7FEBD8">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政府方</w:t>
      </w:r>
      <w:r>
        <w:rPr>
          <w:color w:val="000000" w:themeColor="text1"/>
          <w14:textFill>
            <w14:solidFill>
              <w14:schemeClr w14:val="tx1"/>
            </w14:solidFill>
          </w14:textFill>
        </w:rPr>
        <w:t>向社会公众征收城镇垃圾处理费作为本项目资金来源</w:t>
      </w:r>
      <w:r>
        <w:rPr>
          <w:rFonts w:hint="eastAsia"/>
          <w:color w:val="000000" w:themeColor="text1"/>
          <w:lang w:val="en-US" w:eastAsia="zh-CN"/>
          <w14:textFill>
            <w14:solidFill>
              <w14:schemeClr w14:val="tx1"/>
            </w14:solidFill>
          </w14:textFill>
        </w:rPr>
        <w:t>之一，按照《</w:t>
      </w:r>
      <w:r>
        <w:rPr>
          <w:rFonts w:hint="eastAsia" w:ascii="仿宋" w:hAnsi="仿宋" w:cs="仿宋"/>
          <w:color w:val="000000" w:themeColor="text1"/>
          <w:lang w:val="en-US" w:eastAsia="zh-CN"/>
          <w14:textFill>
            <w14:solidFill>
              <w14:schemeClr w14:val="tx1"/>
            </w14:solidFill>
          </w14:textFill>
        </w:rPr>
        <w:t>包头市生活垃圾处理运行补贴标准》以补贴运营的方式支付给项目公司，</w:t>
      </w:r>
      <w:r>
        <w:rPr>
          <w:color w:val="000000" w:themeColor="text1"/>
          <w14:textFill>
            <w14:solidFill>
              <w14:schemeClr w14:val="tx1"/>
            </w14:solidFill>
          </w14:textFill>
        </w:rPr>
        <w:t>同时本工程投产后向电网输送电力，可获得一定收益，用以维持焚烧厂的正常运行。项目公司以上述收入支付运营维护成本，偿还债务本息，缴纳税费，回收投资，并自负盈亏。</w:t>
      </w:r>
    </w:p>
    <w:p w14:paraId="7987A624">
      <w:pPr>
        <w:ind w:firstLine="560" w:firstLineChars="200"/>
        <w:rPr>
          <w:rFonts w:hint="eastAsia" w:ascii="仿宋" w:hAnsi="仿宋" w:cs="仿宋"/>
          <w:color w:val="000000" w:themeColor="text1"/>
          <w14:textFill>
            <w14:solidFill>
              <w14:schemeClr w14:val="tx1"/>
            </w14:solidFill>
          </w14:textFill>
        </w:rPr>
      </w:pPr>
      <w:r>
        <w:rPr>
          <w:color w:val="000000" w:themeColor="text1"/>
          <w14:textFill>
            <w14:solidFill>
              <w14:schemeClr w14:val="tx1"/>
            </w14:solidFill>
          </w14:textFill>
        </w:rPr>
        <w:t>同时，根据</w:t>
      </w:r>
      <w:r>
        <w:rPr>
          <w:rFonts w:hint="eastAsia"/>
          <w:color w:val="000000" w:themeColor="text1"/>
          <w14:textFill>
            <w14:solidFill>
              <w14:schemeClr w14:val="tx1"/>
            </w14:solidFill>
          </w14:textFill>
        </w:rPr>
        <w:t>《关于规范实施政府和社会资本合作新机制的指导意见》（国办函〔2023〕115号）</w:t>
      </w:r>
      <w:r>
        <w:rPr>
          <w:rFonts w:hint="eastAsia" w:ascii="仿宋" w:hAnsi="仿宋" w:cs="仿宋"/>
          <w:color w:val="000000" w:themeColor="text1"/>
          <w14:textFill>
            <w14:solidFill>
              <w14:schemeClr w14:val="tx1"/>
            </w14:solidFill>
          </w14:textFill>
        </w:rPr>
        <w:t>“鼓励特许经营者通过技术创新、管理创新和商业模式创新等降低建设和运营成本，提高投资收益，促进政府和社会资本合作项目更好实施。特许经营者在保障项目质量和产出（服务）效果的前提下，通过加强管理、降低成本、提升效率、积极创新等获得的额外收益主要归特许经营者所有”。</w:t>
      </w:r>
    </w:p>
    <w:p w14:paraId="63FDA9C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项目公司可在合法合规的范围内，结合新的技术提供相应的公共服务。</w:t>
      </w:r>
    </w:p>
    <w:p w14:paraId="104138E4">
      <w:pPr>
        <w:pStyle w:val="6"/>
        <w:numPr>
          <w:ilvl w:val="3"/>
          <w:numId w:val="64"/>
        </w:numPr>
        <w:spacing w:before="156" w:after="156"/>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项目建设质量标准</w:t>
      </w:r>
    </w:p>
    <w:p w14:paraId="5CCBE18D">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交工验收质量评定为合格；竣工验收的质量评定为合格。</w:t>
      </w:r>
    </w:p>
    <w:p w14:paraId="7FAE3240">
      <w:pPr>
        <w:pStyle w:val="6"/>
        <w:numPr>
          <w:ilvl w:val="3"/>
          <w:numId w:val="64"/>
        </w:numPr>
        <w:spacing w:before="156" w:after="156"/>
        <w:rPr>
          <w:color w:val="000000" w:themeColor="text1"/>
          <w14:textFill>
            <w14:solidFill>
              <w14:schemeClr w14:val="tx1"/>
            </w14:solidFill>
          </w14:textFill>
        </w:rPr>
      </w:pPr>
      <w:bookmarkStart w:id="369" w:name="_Toc8127"/>
      <w:r>
        <w:rPr>
          <w:color w:val="000000" w:themeColor="text1"/>
          <w14:textFill>
            <w14:solidFill>
              <w14:schemeClr w14:val="tx1"/>
            </w14:solidFill>
          </w14:textFill>
        </w:rPr>
        <w:t>特许经营者对项目周期各环节的责任</w:t>
      </w:r>
      <w:bookmarkEnd w:id="369"/>
    </w:p>
    <w:p w14:paraId="58CACC9E">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项目前期阶段</w:t>
      </w:r>
    </w:p>
    <w:p w14:paraId="77189D8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在特许经营者中标后，项目施工建设前，特许经营者的主要责任</w:t>
      </w:r>
      <w:r>
        <w:rPr>
          <w:rFonts w:hint="eastAsia"/>
          <w:color w:val="000000" w:themeColor="text1"/>
          <w14:textFill>
            <w14:solidFill>
              <w14:schemeClr w14:val="tx1"/>
            </w14:solidFill>
          </w14:textFill>
        </w:rPr>
        <w:t>包括：</w:t>
      </w:r>
    </w:p>
    <w:p w14:paraId="0660B6AA">
      <w:pPr>
        <w:numPr>
          <w:ilvl w:val="0"/>
          <w:numId w:val="65"/>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初步协议</w:t>
      </w:r>
      <w:r>
        <w:rPr>
          <w:color w:val="000000" w:themeColor="text1"/>
          <w14:textFill>
            <w14:solidFill>
              <w14:schemeClr w14:val="tx1"/>
            </w14:solidFill>
          </w14:textFill>
        </w:rPr>
        <w:t>、特许经营协议的相关约定提交履约保证金、注册项目公司并派出人员管理项目公司，按照约定进行出资；</w:t>
      </w:r>
    </w:p>
    <w:p w14:paraId="47F8B926">
      <w:pPr>
        <w:numPr>
          <w:ilvl w:val="0"/>
          <w:numId w:val="65"/>
        </w:numPr>
        <w:ind w:left="0"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对</w:t>
      </w:r>
      <w:r>
        <w:rPr>
          <w:rFonts w:hint="eastAsia"/>
          <w:color w:val="000000" w:themeColor="text1"/>
          <w14:textFill>
            <w14:solidFill>
              <w14:schemeClr w14:val="tx1"/>
            </w14:solidFill>
          </w14:textFill>
        </w:rPr>
        <w:t>项目所在地生活垃圾资源的调查、建设条件的论证等可行性研究，以及项目方案设计、项目审批核准前的各项准备工作。特许经营者还需与电网企业进行工作衔接，委托有资质的设计单位编制接入系统设计报告，并报电网企业‌。</w:t>
      </w:r>
    </w:p>
    <w:p w14:paraId="474C513A">
      <w:pPr>
        <w:numPr>
          <w:ilvl w:val="0"/>
          <w:numId w:val="6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特许经营者还需确保项目的规划、选址、设计等符合相关法律法规和行业技术标准，以及环保要求</w:t>
      </w:r>
      <w:r>
        <w:rPr>
          <w:color w:val="000000" w:themeColor="text1"/>
          <w14:textFill>
            <w14:solidFill>
              <w14:schemeClr w14:val="tx1"/>
            </w14:solidFill>
          </w14:textFill>
        </w:rPr>
        <w:t>。</w:t>
      </w:r>
    </w:p>
    <w:p w14:paraId="55D5041F">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项目建设</w:t>
      </w:r>
      <w:r>
        <w:rPr>
          <w:rFonts w:hint="eastAsia"/>
          <w:color w:val="000000" w:themeColor="text1"/>
          <w:lang w:val="en-US" w:eastAsia="zh-CN"/>
          <w14:textFill>
            <w14:solidFill>
              <w14:schemeClr w14:val="tx1"/>
            </w14:solidFill>
          </w14:textFill>
        </w:rPr>
        <w:t>和验收</w:t>
      </w:r>
      <w:r>
        <w:rPr>
          <w:color w:val="000000" w:themeColor="text1"/>
          <w14:textFill>
            <w14:solidFill>
              <w14:schemeClr w14:val="tx1"/>
            </w14:solidFill>
          </w14:textFill>
        </w:rPr>
        <w:t>阶段</w:t>
      </w:r>
    </w:p>
    <w:p w14:paraId="680C023C">
      <w:pPr>
        <w:numPr>
          <w:ilvl w:val="0"/>
          <w:numId w:val="66"/>
        </w:numPr>
        <w:ind w:left="0"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按工程进度</w:t>
      </w:r>
      <w:r>
        <w:rPr>
          <w:color w:val="000000" w:themeColor="text1"/>
          <w14:textFill>
            <w14:solidFill>
              <w14:schemeClr w14:val="tx1"/>
            </w14:solidFill>
          </w14:textFill>
        </w:rPr>
        <w:t>负责及时</w:t>
      </w:r>
      <w:r>
        <w:rPr>
          <w:rFonts w:hint="eastAsia"/>
          <w:color w:val="000000" w:themeColor="text1"/>
          <w:lang w:val="en-US" w:eastAsia="zh-CN"/>
          <w14:textFill>
            <w14:solidFill>
              <w14:schemeClr w14:val="tx1"/>
            </w14:solidFill>
          </w14:textFill>
        </w:rPr>
        <w:t>获得项目融资</w:t>
      </w:r>
      <w:r>
        <w:rPr>
          <w:color w:val="000000" w:themeColor="text1"/>
          <w14:textFill>
            <w14:solidFill>
              <w14:schemeClr w14:val="tx1"/>
            </w14:solidFill>
          </w14:textFill>
        </w:rPr>
        <w:t>；</w:t>
      </w:r>
    </w:p>
    <w:p w14:paraId="2FBEA3FF">
      <w:pPr>
        <w:numPr>
          <w:ilvl w:val="0"/>
          <w:numId w:val="66"/>
        </w:numPr>
        <w:ind w:left="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项目建设期内不得抽回项目资本金、侵占和挪用项目其余建设资金；</w:t>
      </w:r>
    </w:p>
    <w:p w14:paraId="3CC2A437">
      <w:pPr>
        <w:numPr>
          <w:ilvl w:val="0"/>
          <w:numId w:val="6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特许经营者需按照批准的设计文件和建设方案进行工程建设，确保工程质量、安全、进度和环保标准的达标。特许经营者还需负责项目的设备采购、安装和调试，以及工程建设过程中的质量管理和风险控制。</w:t>
      </w:r>
    </w:p>
    <w:p w14:paraId="64FA9411">
      <w:pPr>
        <w:numPr>
          <w:ilvl w:val="0"/>
          <w:numId w:val="6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在工程建设完成后，特许经营者需组织项目的验收工作，确保项目符合设计要求和相关标准，并办理相关手续，如环保验收、消防验收等‌</w:t>
      </w:r>
      <w:r>
        <w:rPr>
          <w:color w:val="000000" w:themeColor="text1"/>
          <w14:textFill>
            <w14:solidFill>
              <w14:schemeClr w14:val="tx1"/>
            </w14:solidFill>
          </w14:textFill>
        </w:rPr>
        <w:t>。</w:t>
      </w:r>
    </w:p>
    <w:p w14:paraId="7C0F2D75">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试</w:t>
      </w:r>
      <w:r>
        <w:rPr>
          <w:color w:val="000000" w:themeColor="text1"/>
          <w14:textFill>
            <w14:solidFill>
              <w14:schemeClr w14:val="tx1"/>
            </w14:solidFill>
          </w14:textFill>
        </w:rPr>
        <w:t>运</w:t>
      </w:r>
      <w:r>
        <w:rPr>
          <w:rFonts w:hint="eastAsia"/>
          <w:color w:val="000000" w:themeColor="text1"/>
          <w:lang w:val="en-US" w:eastAsia="zh-CN"/>
          <w14:textFill>
            <w14:solidFill>
              <w14:schemeClr w14:val="tx1"/>
            </w14:solidFill>
          </w14:textFill>
        </w:rPr>
        <w:t>行</w:t>
      </w:r>
      <w:r>
        <w:rPr>
          <w:color w:val="000000" w:themeColor="text1"/>
          <w14:textFill>
            <w14:solidFill>
              <w14:schemeClr w14:val="tx1"/>
            </w14:solidFill>
          </w14:textFill>
        </w:rPr>
        <w:t>阶段</w:t>
      </w:r>
    </w:p>
    <w:p w14:paraId="52490FF0">
      <w:pPr>
        <w:ind w:firstLine="560" w:firstLineChars="200"/>
        <w:rPr>
          <w:rFonts w:hint="eastAsia"/>
          <w:lang w:eastAsia="zh-CN"/>
        </w:rPr>
      </w:pPr>
      <w:r>
        <w:rPr>
          <w:rFonts w:hint="eastAsia"/>
        </w:rPr>
        <w:t>特许经营者需负责项目的试运行工作，包括设备的调试、性能测试、系统联调等，以确保项目能够稳定运行并达到设计要求。在试运行期间，特许经营者还需对项目的运行情况进行监测和记录，及时发现并解决问题，为项目的正式商业运营做好准备</w:t>
      </w:r>
      <w:r>
        <w:rPr>
          <w:rFonts w:hint="eastAsia"/>
          <w:lang w:eastAsia="zh-CN"/>
        </w:rPr>
        <w:t>。</w:t>
      </w:r>
    </w:p>
    <w:p w14:paraId="0DE2EAF0">
      <w:pPr>
        <w:pStyle w:val="7"/>
        <w:ind w:firstLine="562"/>
      </w:pPr>
      <w:r>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t>项目开始商业运营</w:t>
      </w:r>
      <w:r>
        <w:rPr>
          <w:rFonts w:hint="eastAsia"/>
          <w:color w:val="000000" w:themeColor="text1"/>
          <w:lang w:val="en-US" w:eastAsia="zh-CN"/>
          <w14:textFill>
            <w14:solidFill>
              <w14:schemeClr w14:val="tx1"/>
            </w14:solidFill>
          </w14:textFill>
        </w:rPr>
        <w:t>阶段</w:t>
      </w:r>
      <w:r>
        <w:rPr>
          <w:rFonts w:hint="eastAsia"/>
        </w:rPr>
        <w:t>‌</w:t>
      </w:r>
    </w:p>
    <w:p w14:paraId="5606CAC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者需负责项目的正式商业运营，包括生活垃圾的接收、处理、发电以及电力的销售等。特许经营者需确保项目的稳定运行和高效发电，同时遵守相关法律法规和行业规范，确保环保指标的达标。此外，特许经营者还需负责项目的日常维护和检修工作，以及运营过程中的成本管理和风险控制‌</w:t>
      </w:r>
      <w:r>
        <w:rPr>
          <w:color w:val="000000" w:themeColor="text1"/>
          <w14:textFill>
            <w14:solidFill>
              <w14:schemeClr w14:val="tx1"/>
            </w14:solidFill>
          </w14:textFill>
        </w:rPr>
        <w:t>。</w:t>
      </w:r>
    </w:p>
    <w:p w14:paraId="2AF5B478">
      <w:pPr>
        <w:pStyle w:val="6"/>
        <w:numPr>
          <w:ilvl w:val="3"/>
          <w:numId w:val="64"/>
        </w:numPr>
        <w:spacing w:before="156" w:after="1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关键节点质量要求</w:t>
      </w:r>
    </w:p>
    <w:p w14:paraId="7BD5E414">
      <w:pPr>
        <w:pStyle w:val="7"/>
        <w:keepNext/>
        <w:keepLines/>
        <w:pageBreakBefore w:val="0"/>
        <w:widowControl w:val="0"/>
        <w:numPr>
          <w:ilvl w:val="0"/>
          <w:numId w:val="67"/>
        </w:numPr>
        <w:kinsoku/>
        <w:wordWrap/>
        <w:overflowPunct/>
        <w:topLinePunct w:val="0"/>
        <w:autoSpaceDE/>
        <w:autoSpaceDN/>
        <w:bidi w:val="0"/>
        <w:adjustRightInd w:val="0"/>
        <w:snapToGrid/>
        <w:ind w:left="0" w:leftChars="0" w:firstLine="562" w:firstLineChars="200"/>
        <w:textAlignment w:val="auto"/>
        <w:rPr>
          <w:rFonts w:hint="default"/>
          <w:lang w:val="en-US" w:eastAsia="zh-CN"/>
        </w:rPr>
      </w:pPr>
      <w:r>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t>机组调试质量控制</w:t>
      </w:r>
      <w:r>
        <w:rPr>
          <w:rFonts w:hint="default"/>
          <w:lang w:val="en-US" w:eastAsia="zh-CN"/>
        </w:rPr>
        <w:t>‌</w:t>
      </w:r>
    </w:p>
    <w:p w14:paraId="48302323">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‌调试准备‌：确保所有设备已按设计要求安装完毕，且经过初步检查无缺陷。调试前，应编制详细的调试方案和计划，明确调试目标、步骤、方法和安全措施‌。</w:t>
      </w:r>
    </w:p>
    <w:p w14:paraId="3C4C2BA2">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‌调试过程‌：严格按照调试方案进行，对设备的各项性能指标进行全面测试和调整。调试过程中，应做好数据记录和分析，及时发现并解决问题‌。</w:t>
      </w:r>
    </w:p>
    <w:p w14:paraId="55F801D6">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‌调试验收‌：调试完成后，应组织专业人员进行验收，确保设备性能达到设计要求，且运行稳定可靠。验收合格后，方可进入下一阶段‌。</w:t>
      </w:r>
    </w:p>
    <w:p w14:paraId="10CF6751">
      <w:pPr>
        <w:keepNext w:val="0"/>
        <w:keepLines w:val="0"/>
        <w:pageBreakBefore w:val="0"/>
        <w:widowControl w:val="0"/>
        <w:numPr>
          <w:ilvl w:val="0"/>
          <w:numId w:val="67"/>
        </w:numPr>
        <w:kinsoku/>
        <w:wordWrap/>
        <w:overflowPunct/>
        <w:topLinePunct w:val="0"/>
        <w:autoSpaceDE/>
        <w:autoSpaceDN/>
        <w:bidi w:val="0"/>
        <w:adjustRightInd/>
        <w:snapToGrid/>
        <w:ind w:left="0" w:leftChars="0" w:firstLine="562" w:firstLineChars="200"/>
        <w:textAlignment w:val="auto"/>
        <w:outlineLvl w:val="4"/>
        <w:rPr>
          <w:rFonts w:hint="default" w:ascii="Times" w:hAnsi="Times" w:eastAsia="仿宋" w:cstheme="minorHAnsi"/>
          <w:b/>
          <w:bCs/>
          <w:color w:val="000000" w:themeColor="text1"/>
          <w:kern w:val="2"/>
          <w:sz w:val="28"/>
          <w:szCs w:val="28"/>
          <w:lang w:val="en-US" w:eastAsia="zh-CN" w:bidi="ar-SA"/>
          <w14:textFill>
            <w14:solidFill>
              <w14:schemeClr w14:val="tx1"/>
            </w14:solidFill>
          </w14:textFill>
        </w:rPr>
      </w:pPr>
      <w:r>
        <w:rPr>
          <w:rFonts w:hint="eastAsia" w:ascii="Times" w:hAnsi="Times" w:eastAsia="仿宋" w:cstheme="minorHAnsi"/>
          <w:b/>
          <w:bCs/>
          <w:color w:val="000000" w:themeColor="text1"/>
          <w:kern w:val="2"/>
          <w:sz w:val="28"/>
          <w:szCs w:val="28"/>
          <w:lang w:val="en-US" w:eastAsia="zh-CN" w:bidi="ar-SA"/>
          <w14:textFill>
            <w14:solidFill>
              <w14:schemeClr w14:val="tx1"/>
            </w14:solidFill>
          </w14:textFill>
        </w:rPr>
        <w:t>达标投产质量控制</w:t>
      </w:r>
      <w:r>
        <w:rPr>
          <w:rFonts w:hint="default" w:ascii="Times" w:hAnsi="Times" w:eastAsia="仿宋" w:cstheme="minorHAnsi"/>
          <w:b/>
          <w:bCs/>
          <w:color w:val="000000" w:themeColor="text1"/>
          <w:kern w:val="2"/>
          <w:sz w:val="28"/>
          <w:szCs w:val="28"/>
          <w:lang w:val="en-US" w:eastAsia="zh-CN" w:bidi="ar-SA"/>
          <w14:textFill>
            <w14:solidFill>
              <w14:schemeClr w14:val="tx1"/>
            </w14:solidFill>
          </w14:textFill>
        </w:rPr>
        <w:t>‌</w:t>
      </w:r>
    </w:p>
    <w:p w14:paraId="0C62B0B9">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‌性能测试‌：在机组投产前，应进行全面的性能测试，包括但不限于垃圾处理能力、发电效率、环保指标等。测试结果应满足相关标准和设计要求‌。</w:t>
      </w:r>
    </w:p>
    <w:p w14:paraId="2DC66D86">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‌环保验收‌：确保项目符合环保要求，取得必要的环保手续和许可。环保设施应与主体工程同时设计、同时施工、同时投产使用，且运行稳定有效‌。</w:t>
      </w:r>
    </w:p>
    <w:p w14:paraId="0853B5E2">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‌投产准备‌：做好投产前的各项准备工作，包括人员培训、操作规程制定、应急预案编制等。确保项目能够顺利投产并稳定运行‌。</w:t>
      </w:r>
    </w:p>
    <w:p w14:paraId="72EFA33E">
      <w:pPr>
        <w:keepNext w:val="0"/>
        <w:keepLines w:val="0"/>
        <w:pageBreakBefore w:val="0"/>
        <w:widowControl w:val="0"/>
        <w:numPr>
          <w:ilvl w:val="0"/>
          <w:numId w:val="67"/>
        </w:numPr>
        <w:kinsoku/>
        <w:wordWrap/>
        <w:overflowPunct/>
        <w:topLinePunct w:val="0"/>
        <w:autoSpaceDE/>
        <w:autoSpaceDN/>
        <w:bidi w:val="0"/>
        <w:adjustRightInd/>
        <w:snapToGrid/>
        <w:ind w:left="0" w:leftChars="0" w:firstLine="562" w:firstLineChars="200"/>
        <w:textAlignment w:val="auto"/>
        <w:outlineLvl w:val="2"/>
        <w:rPr>
          <w:rFonts w:hint="default"/>
          <w:lang w:val="en-US" w:eastAsia="zh-CN"/>
        </w:rPr>
      </w:pPr>
      <w:bookmarkStart w:id="370" w:name="_Toc30306"/>
      <w:r>
        <w:rPr>
          <w:rFonts w:hint="default" w:ascii="Times" w:hAnsi="Times" w:eastAsia="仿宋" w:cstheme="minorHAnsi"/>
          <w:b/>
          <w:bCs/>
          <w:color w:val="000000" w:themeColor="text1"/>
          <w:kern w:val="2"/>
          <w:sz w:val="28"/>
          <w:szCs w:val="28"/>
          <w:lang w:val="en-US" w:eastAsia="zh-CN" w:bidi="ar-SA"/>
          <w14:textFill>
            <w14:solidFill>
              <w14:schemeClr w14:val="tx1"/>
            </w14:solidFill>
          </w14:textFill>
        </w:rPr>
        <w:t>‌移交生产质量控制</w:t>
      </w:r>
      <w:r>
        <w:rPr>
          <w:rFonts w:hint="default"/>
          <w:lang w:val="en-US" w:eastAsia="zh-CN"/>
        </w:rPr>
        <w:t>‌</w:t>
      </w:r>
      <w:bookmarkEnd w:id="370"/>
    </w:p>
    <w:p w14:paraId="402519FB">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‌移交前检查‌：在移交生产前，应对项目进行全面检查，确保所有设备设施完好、运行正常，且符合设计要求和相关标准。</w:t>
      </w:r>
    </w:p>
    <w:p w14:paraId="620510D9">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‌移交资料‌：整理并移交项目相关的所有技术资料、管理文件和运行记录等。确保接收方能够全面了解项目情况，顺利接手项目运营。</w:t>
      </w:r>
    </w:p>
    <w:p w14:paraId="5DA92C31">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‌移交验收‌：组织专业人员进行移交验收，确保项目符合移交条件。验收合格后，双方应签署移交协议，明确各自的责任和义务。</w:t>
      </w:r>
    </w:p>
    <w:p w14:paraId="0307EBF9">
      <w:pPr>
        <w:keepNext w:val="0"/>
        <w:keepLines w:val="0"/>
        <w:pageBreakBefore w:val="0"/>
        <w:widowControl w:val="0"/>
        <w:numPr>
          <w:ilvl w:val="0"/>
          <w:numId w:val="67"/>
        </w:numPr>
        <w:kinsoku/>
        <w:wordWrap/>
        <w:overflowPunct/>
        <w:topLinePunct w:val="0"/>
        <w:autoSpaceDE/>
        <w:autoSpaceDN/>
        <w:bidi w:val="0"/>
        <w:adjustRightInd/>
        <w:snapToGrid/>
        <w:ind w:left="0" w:leftChars="0" w:firstLine="562" w:firstLineChars="200"/>
        <w:textAlignment w:val="auto"/>
        <w:outlineLvl w:val="4"/>
        <w:rPr>
          <w:rFonts w:hint="default"/>
          <w:lang w:val="en-US" w:eastAsia="zh-CN"/>
        </w:rPr>
      </w:pPr>
      <w:r>
        <w:rPr>
          <w:rStyle w:val="36"/>
          <w:rFonts w:hint="default"/>
          <w:lang w:val="en-US" w:eastAsia="zh-CN"/>
        </w:rPr>
        <w:t>‌并网发电考核质量控制</w:t>
      </w:r>
      <w:r>
        <w:rPr>
          <w:rFonts w:hint="default"/>
          <w:lang w:val="en-US" w:eastAsia="zh-CN"/>
        </w:rPr>
        <w:t>‌</w:t>
      </w:r>
    </w:p>
    <w:p w14:paraId="78A45651">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‌并网准备‌：确保机组具备并网条件，包括电网接入、调度协议签订、电力交易合同签订等。同时，应做好并网前的各项测试和准备工作‌。</w:t>
      </w:r>
    </w:p>
    <w:p w14:paraId="79431AA6">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‌并网考核‌：按照电网企业的要求，进行并网发电考核。考核内容包括但不限于发电效率、电能质量、电网适应性等。考核合格后，方可正式并网发电‌。</w:t>
      </w:r>
    </w:p>
    <w:p w14:paraId="29B4B353">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‌并网运行‌：并网后，应严格按照电网调度指令进行运行管理，确保机组稳定运行且符合电网要求。同时，应做好运行监测和数据记录工作，及时发现并解决问题</w:t>
      </w:r>
      <w:r>
        <w:rPr>
          <w:rFonts w:hint="eastAsia"/>
          <w:color w:val="000000" w:themeColor="text1"/>
          <w:lang w:val="en-US" w:eastAsia="zh-CN"/>
          <w14:textFill>
            <w14:solidFill>
              <w14:schemeClr w14:val="tx1"/>
            </w14:solidFill>
          </w14:textFill>
        </w:rPr>
        <w:t>。</w:t>
      </w:r>
    </w:p>
    <w:p w14:paraId="5D9F3A4B">
      <w:pPr>
        <w:pStyle w:val="5"/>
        <w:numPr>
          <w:ilvl w:val="2"/>
          <w:numId w:val="64"/>
        </w:numPr>
        <w:rPr>
          <w:color w:val="000000" w:themeColor="text1"/>
          <w14:textFill>
            <w14:solidFill>
              <w14:schemeClr w14:val="tx1"/>
            </w14:solidFill>
          </w14:textFill>
        </w:rPr>
      </w:pPr>
      <w:bookmarkStart w:id="371" w:name="_Toc21396"/>
      <w:bookmarkStart w:id="372" w:name="_Toc21321"/>
      <w:r>
        <w:rPr>
          <w:color w:val="000000" w:themeColor="text1"/>
          <w14:textFill>
            <w14:solidFill>
              <w14:schemeClr w14:val="tx1"/>
            </w14:solidFill>
          </w14:textFill>
        </w:rPr>
        <w:t>实施方式</w:t>
      </w:r>
      <w:bookmarkEnd w:id="371"/>
      <w:bookmarkEnd w:id="372"/>
    </w:p>
    <w:p w14:paraId="408C39F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项目实施方式依据项目建设需求、投资收益水平、风险分配基本框架、融资需求和是否移交等综合因素确定。</w:t>
      </w:r>
    </w:p>
    <w:p w14:paraId="5E97C59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要求</w:t>
      </w:r>
      <w:r>
        <w:rPr>
          <w:rFonts w:hint="eastAsia" w:ascii="仿宋" w:hAnsi="仿宋" w:cs="仿宋"/>
          <w:color w:val="000000" w:themeColor="text1"/>
          <w14:textFill>
            <w14:solidFill>
              <w14:schemeClr w14:val="tx1"/>
            </w14:solidFill>
          </w14:textFill>
        </w:rPr>
        <w:t>“政府和社会资本合作项目应全部采用特许经营模式，根据项目实际情况，合理采</w:t>
      </w:r>
      <w:r>
        <w:rPr>
          <w:color w:val="000000" w:themeColor="text1"/>
          <w14:textFill>
            <w14:solidFill>
              <w14:schemeClr w14:val="tx1"/>
            </w14:solidFill>
          </w14:textFill>
        </w:rPr>
        <w:t>用建设—运营—移交（BOT）、转让—运营—移交（TOT）、改建—运营—移交（ROT）、建设—拥有—运营—移交（BOOT）、设计—建设—融资—运营—移交（DBFOT）等具体实施方式</w:t>
      </w:r>
      <w:r>
        <w:rPr>
          <w:rFonts w:hint="eastAsia" w:ascii="仿宋" w:hAnsi="仿宋" w:cs="仿宋"/>
          <w:color w:val="000000" w:themeColor="text1"/>
          <w14:textFill>
            <w14:solidFill>
              <w14:schemeClr w14:val="tx1"/>
            </w14:solidFill>
          </w14:textFill>
        </w:rPr>
        <w:t>，并在合同中明确约定建设和运营期间的资产权属，清晰界定各方权责利关系”。</w:t>
      </w:r>
    </w:p>
    <w:p w14:paraId="7F831E8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本项目拟以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建设-运营-移交（BO</w:t>
      </w:r>
      <w:r>
        <w:rPr>
          <w:rFonts w:hint="eastAsia"/>
          <w:color w:val="000000" w:themeColor="text1"/>
          <w:lang w:val="en-US" w:eastAsia="zh-CN"/>
          <w14:textFill>
            <w14:solidFill>
              <w14:schemeClr w14:val="tx1"/>
            </w14:solidFill>
          </w14:textFill>
        </w:rPr>
        <w:t>O</w:t>
      </w:r>
      <w:r>
        <w:rPr>
          <w:rFonts w:hint="eastAsia"/>
          <w:color w:val="000000" w:themeColor="text1"/>
          <w14:textFill>
            <w14:solidFill>
              <w14:schemeClr w14:val="tx1"/>
            </w14:solidFill>
          </w14:textFill>
        </w:rPr>
        <w:t>T）</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方式实施。</w:t>
      </w:r>
    </w:p>
    <w:p w14:paraId="6437B6A7">
      <w:pPr>
        <w:pStyle w:val="5"/>
        <w:numPr>
          <w:ilvl w:val="2"/>
          <w:numId w:val="64"/>
        </w:numPr>
        <w:rPr>
          <w:color w:val="000000" w:themeColor="text1"/>
          <w14:textFill>
            <w14:solidFill>
              <w14:schemeClr w14:val="tx1"/>
            </w14:solidFill>
          </w14:textFill>
        </w:rPr>
      </w:pPr>
      <w:bookmarkStart w:id="373" w:name="_Toc15980"/>
      <w:bookmarkStart w:id="374" w:name="_Toc10784"/>
      <w:r>
        <w:rPr>
          <w:color w:val="000000" w:themeColor="text1"/>
          <w14:textFill>
            <w14:solidFill>
              <w14:schemeClr w14:val="tx1"/>
            </w14:solidFill>
          </w14:textFill>
        </w:rPr>
        <w:t>特许经营期限和资产权属</w:t>
      </w:r>
      <w:bookmarkEnd w:id="373"/>
      <w:bookmarkEnd w:id="374"/>
    </w:p>
    <w:p w14:paraId="4866FDC2">
      <w:pPr>
        <w:pStyle w:val="6"/>
        <w:numPr>
          <w:ilvl w:val="3"/>
          <w:numId w:val="64"/>
        </w:numPr>
        <w:spacing w:before="156" w:after="156"/>
        <w:rPr>
          <w:color w:val="000000" w:themeColor="text1"/>
          <w14:textFill>
            <w14:solidFill>
              <w14:schemeClr w14:val="tx1"/>
            </w14:solidFill>
          </w14:textFill>
        </w:rPr>
      </w:pPr>
      <w:bookmarkStart w:id="375" w:name="_Toc19148"/>
      <w:r>
        <w:rPr>
          <w:rFonts w:hint="eastAsia"/>
          <w:color w:val="000000" w:themeColor="text1"/>
          <w14:textFill>
            <w14:solidFill>
              <w14:schemeClr w14:val="tx1"/>
            </w14:solidFill>
          </w14:textFill>
        </w:rPr>
        <w:t>特许经营期限</w:t>
      </w:r>
      <w:bookmarkEnd w:id="375"/>
    </w:p>
    <w:p w14:paraId="3221D43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根据《关于规范实施政府和社会资本合作新机制的指导意见》（国办函〔2023〕115号）政策</w:t>
      </w:r>
      <w:r>
        <w:rPr>
          <w:rFonts w:hint="eastAsia" w:ascii="仿宋" w:hAnsi="仿宋" w:cs="仿宋"/>
          <w:color w:val="000000" w:themeColor="text1"/>
          <w14:textFill>
            <w14:solidFill>
              <w14:schemeClr w14:val="tx1"/>
            </w14:solidFill>
          </w14:textFill>
        </w:rPr>
        <w:t>文件“</w:t>
      </w:r>
      <w:r>
        <w:rPr>
          <w:color w:val="000000" w:themeColor="text1"/>
          <w14:textFill>
            <w14:solidFill>
              <w14:schemeClr w14:val="tx1"/>
            </w14:solidFill>
          </w14:textFill>
        </w:rPr>
        <w:t>特许经营期限原则上不超过40年，投资规模大、回报周期长的特许经营项目可以根据实际情况适当延长，法律法规另有规定的</w:t>
      </w:r>
      <w:r>
        <w:rPr>
          <w:rFonts w:hint="eastAsia" w:ascii="仿宋" w:hAnsi="仿宋" w:cs="仿宋"/>
          <w:color w:val="000000" w:themeColor="text1"/>
          <w14:textFill>
            <w14:solidFill>
              <w14:schemeClr w14:val="tx1"/>
            </w14:solidFill>
          </w14:textFill>
        </w:rPr>
        <w:t>除外”精</w:t>
      </w:r>
      <w:r>
        <w:rPr>
          <w:color w:val="000000" w:themeColor="text1"/>
          <w14:textFill>
            <w14:solidFill>
              <w14:schemeClr w14:val="tx1"/>
            </w14:solidFill>
          </w14:textFill>
        </w:rPr>
        <w:t>神，以及</w:t>
      </w:r>
      <w:r>
        <w:rPr>
          <w:rFonts w:hint="eastAsia"/>
          <w:color w:val="000000" w:themeColor="text1"/>
          <w14:textFill>
            <w14:solidFill>
              <w14:schemeClr w14:val="tx1"/>
            </w14:solidFill>
          </w14:textFill>
        </w:rPr>
        <w:t>《基础设施和公用事业特许经营管理办法》2024年第17号令“特许经营期限原则上不超过40年，投资规模大、回报周期长的特许经营项目可以根据实际情况适当延长，法律法规另有规定的除外”。</w:t>
      </w:r>
      <w:r>
        <w:rPr>
          <w:color w:val="000000" w:themeColor="text1"/>
          <w14:textFill>
            <w14:solidFill>
              <w14:schemeClr w14:val="tx1"/>
            </w14:solidFill>
          </w14:textFill>
        </w:rPr>
        <w:t>结合本项目财务分析，本项目特许经营期限包含建设期和运营期，具体安排如下：</w:t>
      </w:r>
    </w:p>
    <w:p w14:paraId="56D6380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本项目建设期</w:t>
      </w:r>
      <w:r>
        <w:rPr>
          <w:rFonts w:hint="eastAsia"/>
          <w:color w:val="000000" w:themeColor="text1"/>
          <w:lang w:val="en-US" w:eastAsia="zh-CN"/>
          <w14:textFill>
            <w14:solidFill>
              <w14:schemeClr w14:val="tx1"/>
            </w14:solidFill>
          </w14:textFill>
        </w:rPr>
        <w:t>按2年计，</w:t>
      </w:r>
      <w:r>
        <w:rPr>
          <w:color w:val="000000" w:themeColor="text1"/>
          <w14:textFill>
            <w14:solidFill>
              <w14:schemeClr w14:val="tx1"/>
            </w14:solidFill>
          </w14:textFill>
        </w:rPr>
        <w:t>运营期按</w:t>
      </w:r>
      <w:r>
        <w:rPr>
          <w:rFonts w:hint="eastAsia"/>
          <w:color w:val="000000" w:themeColor="text1"/>
          <w14:textFill>
            <w14:solidFill>
              <w14:schemeClr w14:val="tx1"/>
            </w14:solidFill>
          </w14:textFill>
        </w:rPr>
        <w:t>38</w:t>
      </w:r>
      <w:r>
        <w:rPr>
          <w:color w:val="000000" w:themeColor="text1"/>
          <w14:textFill>
            <w14:solidFill>
              <w14:schemeClr w14:val="tx1"/>
            </w14:solidFill>
          </w14:textFill>
        </w:rPr>
        <w:t>年计，最终以包头市人民政府批复为准。</w:t>
      </w:r>
    </w:p>
    <w:p w14:paraId="7330A21C">
      <w:pPr>
        <w:pStyle w:val="6"/>
        <w:numPr>
          <w:ilvl w:val="3"/>
          <w:numId w:val="64"/>
        </w:numPr>
        <w:spacing w:before="156" w:after="156"/>
        <w:rPr>
          <w:color w:val="000000" w:themeColor="text1"/>
          <w14:textFill>
            <w14:solidFill>
              <w14:schemeClr w14:val="tx1"/>
            </w14:solidFill>
          </w14:textFill>
        </w:rPr>
      </w:pPr>
      <w:bookmarkStart w:id="376" w:name="_Toc24349"/>
      <w:r>
        <w:rPr>
          <w:rFonts w:hint="eastAsia"/>
          <w:color w:val="000000" w:themeColor="text1"/>
          <w14:textFill>
            <w14:solidFill>
              <w14:schemeClr w14:val="tx1"/>
            </w14:solidFill>
          </w14:textFill>
        </w:rPr>
        <w:t>资产权属</w:t>
      </w:r>
      <w:bookmarkEnd w:id="376"/>
    </w:p>
    <w:p w14:paraId="2BC7FB2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项目</w:t>
      </w:r>
      <w:r>
        <w:rPr>
          <w:color w:val="000000" w:themeColor="text1"/>
          <w14:textFill>
            <w14:solidFill>
              <w14:schemeClr w14:val="tx1"/>
            </w14:solidFill>
          </w14:textFill>
        </w:rPr>
        <w:t>特许经营期内，</w:t>
      </w:r>
      <w:r>
        <w:rPr>
          <w:rFonts w:hint="eastAsia"/>
          <w:color w:val="000000" w:themeColor="text1"/>
          <w:lang w:eastAsia="zh-CN"/>
          <w14:textFill>
            <w14:solidFill>
              <w14:schemeClr w14:val="tx1"/>
            </w14:solidFill>
          </w14:textFill>
        </w:rPr>
        <w:t>未经政府批准，项目公司不得变更项目建设用地的土地用途，也不得将该土地转让、出租和抵押</w:t>
      </w:r>
      <w:r>
        <w:rPr>
          <w:color w:val="000000" w:themeColor="text1"/>
          <w14:textFill>
            <w14:solidFill>
              <w14:schemeClr w14:val="tx1"/>
            </w14:solidFill>
          </w14:textFill>
        </w:rPr>
        <w:t>。</w:t>
      </w:r>
    </w:p>
    <w:p w14:paraId="024602A6">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在项目特许经营期内，项目公司拥有项目资产所有权，享有项目及其附属设施的经营权和收益权。在特许经营期满时，项目公司将本项目所属设施、设备、附属物、知识产权、土地使用权等，无偿移交给本项目实施机构。</w:t>
      </w:r>
    </w:p>
    <w:p w14:paraId="51B45694">
      <w:pPr>
        <w:pStyle w:val="2"/>
      </w:pPr>
    </w:p>
    <w:p w14:paraId="31FA6E5E">
      <w:pPr>
        <w:pStyle w:val="5"/>
        <w:numPr>
          <w:ilvl w:val="2"/>
          <w:numId w:val="64"/>
        </w:numPr>
        <w:rPr>
          <w:color w:val="000000" w:themeColor="text1"/>
          <w14:textFill>
            <w14:solidFill>
              <w14:schemeClr w14:val="tx1"/>
            </w14:solidFill>
          </w14:textFill>
        </w:rPr>
      </w:pPr>
      <w:bookmarkStart w:id="377" w:name="_Toc32052"/>
      <w:bookmarkStart w:id="378" w:name="_Toc21831"/>
      <w:r>
        <w:rPr>
          <w:color w:val="000000" w:themeColor="text1"/>
          <w14:textFill>
            <w14:solidFill>
              <w14:schemeClr w14:val="tx1"/>
            </w14:solidFill>
          </w14:textFill>
        </w:rPr>
        <w:t>特许经营主要原则和合作边界</w:t>
      </w:r>
      <w:bookmarkEnd w:id="377"/>
      <w:bookmarkEnd w:id="378"/>
    </w:p>
    <w:p w14:paraId="6F68E144">
      <w:pPr>
        <w:pStyle w:val="6"/>
        <w:numPr>
          <w:ilvl w:val="3"/>
          <w:numId w:val="64"/>
        </w:numPr>
        <w:spacing w:before="156" w:after="156"/>
        <w:rPr>
          <w:color w:val="000000" w:themeColor="text1"/>
          <w14:textFill>
            <w14:solidFill>
              <w14:schemeClr w14:val="tx1"/>
            </w14:solidFill>
          </w14:textFill>
        </w:rPr>
      </w:pPr>
      <w:bookmarkStart w:id="379" w:name="_Toc31523"/>
      <w:r>
        <w:rPr>
          <w:color w:val="000000" w:themeColor="text1"/>
          <w14:textFill>
            <w14:solidFill>
              <w14:schemeClr w14:val="tx1"/>
            </w14:solidFill>
          </w14:textFill>
        </w:rPr>
        <w:t>使用者付费定价</w:t>
      </w:r>
      <w:bookmarkEnd w:id="379"/>
    </w:p>
    <w:p w14:paraId="6A41805B">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定价原则</w:t>
      </w:r>
    </w:p>
    <w:p w14:paraId="1A2E424D">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照《包头市人民政府办公室关于印发生活垃圾处理运行补贴标准的通知》（包府办发〔2025〕80号），本项目炉排炉工艺处理补贴最高不超过170元/吨（不含收运），故本方案暂按照170元/吨为上限计算垃圾处理运行补贴费用，具体价格以招标结果为准，本补贴仅用于补贴运营，不补贴建设。</w:t>
      </w:r>
    </w:p>
    <w:p w14:paraId="25672090">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使用者付费渠道及管理</w:t>
      </w:r>
    </w:p>
    <w:p w14:paraId="15BB22FE">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根据《包头市发展和改革委员会 包头市城市管理局关于包头市主城区生活垃圾处理费标准的通知》（包发改价费字〔2025〕749号）《包头市人民政府办公室关于印发包头市城镇生活垃圾处理费收费管理办法的通知》（包府办发〔2026〕4号）“包头市主城区（昆区、青山区、东河区、九原区、石拐新区）行政区域内所有产生城镇生活垃圾的国家机关、企事业单位、个体经营者、城镇居民等，均应按规定缴纳生活垃圾处理费”，垃圾处理费收费途径为随水费征收，向居民收取的垃圾费由政府指定部门专项管理，统筹使用，提高本项目资金支付保障。</w:t>
      </w:r>
    </w:p>
    <w:p w14:paraId="266BDA7C">
      <w:pPr>
        <w:pStyle w:val="6"/>
        <w:numPr>
          <w:ilvl w:val="3"/>
          <w:numId w:val="64"/>
        </w:numPr>
        <w:spacing w:before="156" w:after="156"/>
        <w:rPr>
          <w:color w:val="000000" w:themeColor="text1"/>
          <w14:textFill>
            <w14:solidFill>
              <w14:schemeClr w14:val="tx1"/>
            </w14:solidFill>
          </w14:textFill>
        </w:rPr>
      </w:pPr>
      <w:bookmarkStart w:id="380" w:name="_Toc19313"/>
      <w:r>
        <w:rPr>
          <w:color w:val="000000" w:themeColor="text1"/>
          <w14:textFill>
            <w14:solidFill>
              <w14:schemeClr w14:val="tx1"/>
            </w14:solidFill>
          </w14:textFill>
        </w:rPr>
        <w:t>调价机制和原则</w:t>
      </w:r>
      <w:bookmarkEnd w:id="380"/>
    </w:p>
    <w:p w14:paraId="54D17E63">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总投资变化调价原则</w:t>
      </w:r>
    </w:p>
    <w:p w14:paraId="60AA4B5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在项目竣工验收后，由政府方进行决算审计，根据最终项目静态投资额(不含建设期利息)与估算静态投资额(以特许经营者采购时投资估算为准，不含建设期利息)的变化幅度，按照以下原则进行调</w:t>
      </w:r>
      <w:r>
        <w:rPr>
          <w:rFonts w:hint="eastAsia"/>
          <w:color w:val="000000" w:themeColor="text1"/>
          <w:lang w:val="en-US" w:eastAsia="zh-CN"/>
          <w14:textFill>
            <w14:solidFill>
              <w14:schemeClr w14:val="tx1"/>
            </w14:solidFill>
          </w14:textFill>
        </w:rPr>
        <w:t>整：</w:t>
      </w:r>
    </w:p>
    <w:p w14:paraId="458F5F7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项目静态投资额变化幅度不足1000万元时，生活垃圾处理服务费单价不进行调整;</w:t>
      </w:r>
    </w:p>
    <w:p w14:paraId="2C4765A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由于社会资本方自身原因导致的生活垃圾焚烧发电项目静态投资额变化增加时，生活垃圾处理服务费单价不调整;</w:t>
      </w:r>
    </w:p>
    <w:p w14:paraId="0C209B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除以上(1)、(2)情况外，生活垃圾焚烧发电项目静态投资额增加或减少超过1000万元时，生活垃圾处理服务费按以下公式进行调整。</w:t>
      </w:r>
    </w:p>
    <w:p w14:paraId="0C00AF11">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总投资变化调价调价公式</w:t>
      </w:r>
    </w:p>
    <w:p w14:paraId="7A235A0D">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调整后的垃圾处理服务费单价</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垃圾处理服务费中标价＋n</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（实际静态投资总额－估算静态投资总额）</w:t>
      </w:r>
      <w:r>
        <w:rPr>
          <w:rFonts w:hint="default"/>
          <w:color w:val="000000" w:themeColor="text1"/>
          <w:lang w:val="en-US" w:eastAsia="zh-CN"/>
          <w14:textFill>
            <w14:solidFill>
              <w14:schemeClr w14:val="tx1"/>
            </w14:solidFill>
          </w14:textFill>
        </w:rPr>
        <w:t>÷1000</w:t>
      </w:r>
    </w:p>
    <w:p w14:paraId="3E1393DB">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n为经验数据，即静态投资每变动1000万元，垃圾处理补贴价格相应变化n元（具体以双方谈判后的《特许经营协议》为准）。实际静态投资总额与估算静态投资总额的单位为万元。</w:t>
      </w:r>
    </w:p>
    <w:p w14:paraId="26ED38AA">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一般成本变动调价原则</w:t>
      </w:r>
    </w:p>
    <w:p w14:paraId="12A984A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针对政府定价或物价部门指导价格的，在项目运营期间，因通货膨胀情况或原材料价格上涨（主要是指人工、电费、水费、税费等）导致运营成本增加或降低，则设定相应的调价机制，确保项目的正常运营。在运营期内以每三年为一个周期，若前述调整因素中的一项或者多项成本变动幅度超过</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%，可以申请调整物价部门的指导价格。</w:t>
      </w:r>
    </w:p>
    <w:p w14:paraId="72DD3BC5">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一般成本变动调价公式</w:t>
      </w:r>
    </w:p>
    <w:p w14:paraId="56B0AA2A">
      <w:pPr>
        <w:keepNext w:val="0"/>
        <w:keepLines w:val="0"/>
        <w:widowControl w:val="0"/>
        <w:suppressLineNumbers w:val="0"/>
        <w:spacing w:before="0" w:beforeAutospacing="0" w:after="0" w:afterAutospacing="0" w:line="360" w:lineRule="auto"/>
        <w:ind w:left="0" w:right="0" w:firstLine="560" w:firstLineChars="200"/>
        <w:jc w:val="center"/>
        <w:rPr>
          <w:lang w:val="en-US"/>
        </w:rPr>
      </w:pPr>
      <w:bookmarkStart w:id="381" w:name="_Hlk82094354"/>
      <w:r>
        <w:rPr>
          <w:rFonts w:hint="default" w:ascii="Times New Roman" w:hAnsi="Times New Roman" w:eastAsia="仿宋" w:cs="Times New Roman"/>
          <w:kern w:val="2"/>
          <w:sz w:val="28"/>
          <w:szCs w:val="21"/>
          <w:lang w:val="en-US" w:eastAsia="zh-CN" w:bidi="ar"/>
        </w:rPr>
        <w:t>P</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P</w:t>
      </w:r>
      <w:r>
        <w:rPr>
          <w:rFonts w:hint="default" w:ascii="Times New Roman" w:hAnsi="Times New Roman" w:eastAsia="仿宋" w:cs="Times New Roman"/>
          <w:kern w:val="2"/>
          <w:sz w:val="28"/>
          <w:szCs w:val="21"/>
          <w:vertAlign w:val="subscript"/>
          <w:lang w:val="en-US" w:eastAsia="zh-CN" w:bidi="ar"/>
        </w:rPr>
        <w:t>n-3</w:t>
      </w:r>
      <w:r>
        <w:rPr>
          <w:rFonts w:hint="default" w:ascii="Times New Roman" w:hAnsi="Times New Roman" w:eastAsia="仿宋" w:cs="Times New Roman"/>
          <w:kern w:val="2"/>
          <w:sz w:val="28"/>
          <w:szCs w:val="21"/>
          <w:lang w:val="en-US" w:eastAsia="zh-CN" w:bidi="ar"/>
        </w:rPr>
        <w:t>×K</w:t>
      </w:r>
      <w:r>
        <w:rPr>
          <w:rFonts w:hint="default" w:ascii="Times New Roman" w:hAnsi="Times New Roman" w:eastAsia="仿宋" w:cs="Times New Roman"/>
          <w:kern w:val="2"/>
          <w:sz w:val="28"/>
          <w:szCs w:val="21"/>
          <w:vertAlign w:val="subscript"/>
          <w:lang w:val="en-US" w:eastAsia="zh-CN" w:bidi="ar"/>
        </w:rPr>
        <w:t>n</w:t>
      </w:r>
    </w:p>
    <w:p w14:paraId="079572AD">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eastAsia" w:ascii="Times New Roman" w:hAnsi="Times New Roman" w:eastAsia="仿宋" w:cs="仿宋"/>
          <w:kern w:val="2"/>
          <w:sz w:val="28"/>
          <w:szCs w:val="21"/>
          <w:lang w:val="en-US" w:eastAsia="zh-CN" w:bidi="ar"/>
        </w:rPr>
        <w:t>其中：</w:t>
      </w:r>
      <w:r>
        <w:rPr>
          <w:rFonts w:hint="default" w:ascii="Times New Roman" w:hAnsi="Times New Roman" w:eastAsia="仿宋" w:cs="Times New Roman"/>
          <w:kern w:val="2"/>
          <w:sz w:val="28"/>
          <w:szCs w:val="21"/>
          <w:lang w:val="en-US" w:eastAsia="zh-CN" w:bidi="ar"/>
        </w:rPr>
        <w:t>P</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指运营期调价当年后的第</w:t>
      </w:r>
      <w:r>
        <w:rPr>
          <w:rFonts w:hint="default" w:ascii="Times New Roman" w:hAnsi="Times New Roman" w:eastAsia="仿宋" w:cs="Times New Roman"/>
          <w:kern w:val="2"/>
          <w:sz w:val="28"/>
          <w:szCs w:val="21"/>
          <w:lang w:val="en-US" w:eastAsia="zh-CN" w:bidi="ar"/>
        </w:rPr>
        <w:t>n</w:t>
      </w:r>
      <w:r>
        <w:rPr>
          <w:rFonts w:hint="eastAsia" w:ascii="Times New Roman" w:hAnsi="Times New Roman" w:eastAsia="仿宋" w:cs="仿宋"/>
          <w:kern w:val="2"/>
          <w:sz w:val="28"/>
          <w:szCs w:val="21"/>
          <w:lang w:val="en-US" w:eastAsia="zh-CN" w:bidi="ar"/>
        </w:rPr>
        <w:t>年的垃圾处理费单价，（</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7</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10</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eastAsia" w:cs="仿宋"/>
          <w:kern w:val="2"/>
          <w:sz w:val="28"/>
          <w:szCs w:val="21"/>
          <w:lang w:val="en-US" w:eastAsia="zh-CN" w:bidi="ar"/>
        </w:rPr>
        <w:t>40</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P</w:t>
      </w:r>
      <w:r>
        <w:rPr>
          <w:rFonts w:hint="default" w:ascii="Times New Roman" w:hAnsi="Times New Roman" w:eastAsia="仿宋" w:cs="Times New Roman"/>
          <w:kern w:val="2"/>
          <w:sz w:val="28"/>
          <w:szCs w:val="21"/>
          <w:vertAlign w:val="subscript"/>
          <w:lang w:val="en-US" w:eastAsia="zh-CN" w:bidi="ar"/>
        </w:rPr>
        <w:t>n-3</w:t>
      </w:r>
      <w:r>
        <w:rPr>
          <w:rFonts w:hint="eastAsia" w:ascii="Times New Roman" w:hAnsi="Times New Roman" w:eastAsia="仿宋" w:cs="仿宋"/>
          <w:kern w:val="2"/>
          <w:sz w:val="28"/>
          <w:szCs w:val="21"/>
          <w:lang w:val="en-US" w:eastAsia="zh-CN" w:bidi="ar"/>
        </w:rPr>
        <w:t>指运营期调价当年后的第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年的垃圾处理费单价；</w:t>
      </w:r>
      <w:r>
        <w:rPr>
          <w:rFonts w:hint="default" w:ascii="Times New Roman" w:hAnsi="Times New Roman" w:eastAsia="仿宋" w:cs="Times New Roman"/>
          <w:kern w:val="2"/>
          <w:sz w:val="28"/>
          <w:szCs w:val="21"/>
          <w:lang w:val="en-US" w:eastAsia="zh-CN" w:bidi="ar"/>
        </w:rPr>
        <w:t>K</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指运营期调价当年后的第</w:t>
      </w:r>
      <w:r>
        <w:rPr>
          <w:rFonts w:hint="default" w:ascii="Times New Roman" w:hAnsi="Times New Roman" w:eastAsia="仿宋" w:cs="Times New Roman"/>
          <w:kern w:val="2"/>
          <w:sz w:val="28"/>
          <w:szCs w:val="21"/>
          <w:lang w:val="en-US" w:eastAsia="zh-CN" w:bidi="ar"/>
        </w:rPr>
        <w:t>n</w:t>
      </w:r>
      <w:r>
        <w:rPr>
          <w:rFonts w:hint="eastAsia" w:ascii="Times New Roman" w:hAnsi="Times New Roman" w:eastAsia="仿宋" w:cs="仿宋"/>
          <w:kern w:val="2"/>
          <w:sz w:val="28"/>
          <w:szCs w:val="21"/>
          <w:lang w:val="en-US" w:eastAsia="zh-CN" w:bidi="ar"/>
        </w:rPr>
        <w:t>年垃圾处理费单价的调价系数；</w:t>
      </w:r>
    </w:p>
    <w:p w14:paraId="64069F5C">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K</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a×</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E</w:t>
      </w:r>
      <w:r>
        <w:rPr>
          <w:rFonts w:hint="default" w:ascii="Times New Roman" w:hAnsi="Times New Roman" w:eastAsia="仿宋" w:cs="Times New Roman"/>
          <w:kern w:val="2"/>
          <w:sz w:val="28"/>
          <w:szCs w:val="21"/>
          <w:vertAlign w:val="subscript"/>
          <w:lang w:val="en-US" w:eastAsia="zh-CN" w:bidi="ar"/>
        </w:rPr>
        <w:t>n</w:t>
      </w:r>
      <w:r>
        <w:rPr>
          <w:rFonts w:hint="default" w:ascii="Times New Roman" w:hAnsi="Times New Roman" w:eastAsia="仿宋" w:cs="Times New Roman"/>
          <w:kern w:val="2"/>
          <w:sz w:val="28"/>
          <w:szCs w:val="21"/>
          <w:lang w:val="en-US" w:eastAsia="zh-CN" w:bidi="ar"/>
        </w:rPr>
        <w:t>/E</w:t>
      </w:r>
      <w:r>
        <w:rPr>
          <w:rFonts w:hint="default" w:ascii="Times New Roman" w:hAnsi="Times New Roman" w:eastAsia="仿宋" w:cs="Times New Roman"/>
          <w:kern w:val="2"/>
          <w:sz w:val="28"/>
          <w:szCs w:val="21"/>
          <w:vertAlign w:val="subscript"/>
          <w:lang w:val="en-US" w:eastAsia="zh-CN" w:bidi="ar"/>
        </w:rPr>
        <w:t>n-3</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b×L</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c×Ch</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d×(Tax</w:t>
      </w:r>
      <w:r>
        <w:rPr>
          <w:rFonts w:hint="default" w:ascii="Times New Roman" w:hAnsi="Times New Roman" w:eastAsia="仿宋" w:cs="Times New Roman"/>
          <w:kern w:val="2"/>
          <w:sz w:val="28"/>
          <w:szCs w:val="21"/>
          <w:vertAlign w:val="subscript"/>
          <w:lang w:val="en-US" w:eastAsia="zh-CN" w:bidi="ar"/>
        </w:rPr>
        <w:t>n</w:t>
      </w:r>
      <w:r>
        <w:rPr>
          <w:rFonts w:hint="default" w:ascii="Times New Roman" w:hAnsi="Times New Roman" w:eastAsia="仿宋" w:cs="Times New Roman"/>
          <w:kern w:val="2"/>
          <w:sz w:val="28"/>
          <w:szCs w:val="21"/>
          <w:lang w:val="en-US" w:eastAsia="zh-CN" w:bidi="ar"/>
        </w:rPr>
        <w:t>/Tax</w:t>
      </w:r>
      <w:r>
        <w:rPr>
          <w:rFonts w:hint="default" w:ascii="Times New Roman" w:hAnsi="Times New Roman" w:eastAsia="仿宋" w:cs="Times New Roman"/>
          <w:kern w:val="2"/>
          <w:sz w:val="28"/>
          <w:szCs w:val="21"/>
          <w:vertAlign w:val="subscript"/>
          <w:lang w:val="en-US" w:eastAsia="zh-CN" w:bidi="ar"/>
        </w:rPr>
        <w:t>n-3</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e×</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T</w:t>
      </w:r>
      <w:r>
        <w:rPr>
          <w:rFonts w:hint="default" w:ascii="Times New Roman" w:hAnsi="Times New Roman" w:eastAsia="仿宋" w:cs="Times New Roman"/>
          <w:kern w:val="2"/>
          <w:sz w:val="28"/>
          <w:szCs w:val="21"/>
          <w:vertAlign w:val="subscript"/>
          <w:lang w:val="en-US" w:eastAsia="zh-CN" w:bidi="ar"/>
        </w:rPr>
        <w:t>n</w:t>
      </w:r>
      <w:r>
        <w:rPr>
          <w:rFonts w:hint="default" w:ascii="Times New Roman" w:hAnsi="Times New Roman" w:eastAsia="仿宋" w:cs="Times New Roman"/>
          <w:kern w:val="2"/>
          <w:sz w:val="28"/>
          <w:szCs w:val="21"/>
          <w:lang w:val="en-US" w:eastAsia="zh-CN" w:bidi="ar"/>
        </w:rPr>
        <w:t>/T</w:t>
      </w:r>
      <w:r>
        <w:rPr>
          <w:rFonts w:hint="default" w:ascii="Times New Roman" w:hAnsi="Times New Roman" w:eastAsia="仿宋" w:cs="Times New Roman"/>
          <w:kern w:val="2"/>
          <w:sz w:val="28"/>
          <w:szCs w:val="21"/>
          <w:vertAlign w:val="subscript"/>
          <w:lang w:val="en-US" w:eastAsia="zh-CN" w:bidi="ar"/>
        </w:rPr>
        <w:t>n-3</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f×CPI</w:t>
      </w:r>
      <w:r>
        <w:rPr>
          <w:rFonts w:hint="default" w:ascii="Times New Roman" w:hAnsi="Times New Roman" w:eastAsia="仿宋" w:cs="Times New Roman"/>
          <w:kern w:val="2"/>
          <w:sz w:val="28"/>
          <w:szCs w:val="21"/>
          <w:vertAlign w:val="subscript"/>
          <w:lang w:val="en-US" w:eastAsia="zh-CN" w:bidi="ar"/>
        </w:rPr>
        <w:t>n</w:t>
      </w:r>
      <w:r>
        <w:rPr>
          <w:rFonts w:hint="default" w:ascii="Times New Roman" w:hAnsi="Times New Roman" w:eastAsia="仿宋" w:cs="Times New Roman"/>
          <w:kern w:val="2"/>
          <w:sz w:val="28"/>
          <w:szCs w:val="21"/>
          <w:lang w:val="en-US" w:eastAsia="zh-CN" w:bidi="ar"/>
        </w:rPr>
        <w:t>+g</w:t>
      </w:r>
      <w:r>
        <w:rPr>
          <w:rFonts w:hint="eastAsia" w:ascii="Times New Roman" w:hAnsi="Times New Roman" w:eastAsia="仿宋" w:cs="仿宋"/>
          <w:kern w:val="2"/>
          <w:sz w:val="28"/>
          <w:szCs w:val="21"/>
          <w:lang w:val="en-US" w:eastAsia="zh-CN" w:bidi="ar"/>
        </w:rPr>
        <w:t>，其中：</w:t>
      </w:r>
    </w:p>
    <w:p w14:paraId="6C1DD45A">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a</w:t>
      </w:r>
      <w:r>
        <w:rPr>
          <w:rFonts w:hint="eastAsia" w:ascii="Times New Roman" w:hAnsi="Times New Roman" w:eastAsia="仿宋" w:cs="仿宋"/>
          <w:kern w:val="2"/>
          <w:sz w:val="28"/>
          <w:szCs w:val="21"/>
          <w:lang w:val="en-US" w:eastAsia="zh-CN" w:bidi="ar"/>
        </w:rPr>
        <w:t>是电容电费在垃圾处理服务费单价构成中所占的比例；</w:t>
      </w:r>
    </w:p>
    <w:p w14:paraId="14B46501">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b</w:t>
      </w:r>
      <w:r>
        <w:rPr>
          <w:rFonts w:hint="eastAsia" w:ascii="Times New Roman" w:hAnsi="Times New Roman" w:eastAsia="仿宋" w:cs="仿宋"/>
          <w:kern w:val="2"/>
          <w:sz w:val="28"/>
          <w:szCs w:val="21"/>
          <w:lang w:val="en-US" w:eastAsia="zh-CN" w:bidi="ar"/>
        </w:rPr>
        <w:t>是人工费用在垃圾处理服务费单价构成中所占的比例；</w:t>
      </w:r>
    </w:p>
    <w:p w14:paraId="6CB5A110">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c</w:t>
      </w:r>
      <w:r>
        <w:rPr>
          <w:rFonts w:hint="eastAsia" w:ascii="Times New Roman" w:hAnsi="Times New Roman" w:eastAsia="仿宋" w:cs="仿宋"/>
          <w:kern w:val="2"/>
          <w:sz w:val="28"/>
          <w:szCs w:val="21"/>
          <w:lang w:val="en-US" w:eastAsia="zh-CN" w:bidi="ar"/>
        </w:rPr>
        <w:t>是药剂费在垃圾处理服务费单价构成中所占的比例；</w:t>
      </w:r>
    </w:p>
    <w:p w14:paraId="3A3914A7">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d</w:t>
      </w:r>
      <w:r>
        <w:rPr>
          <w:rFonts w:hint="eastAsia" w:ascii="Times New Roman" w:hAnsi="Times New Roman" w:eastAsia="仿宋" w:cs="仿宋"/>
          <w:kern w:val="2"/>
          <w:sz w:val="28"/>
          <w:szCs w:val="21"/>
          <w:lang w:val="en-US" w:eastAsia="zh-CN" w:bidi="ar"/>
        </w:rPr>
        <w:t>是税费在垃圾处理服务费单价构成中所占的比例；</w:t>
      </w:r>
    </w:p>
    <w:p w14:paraId="228E1431">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e</w:t>
      </w:r>
      <w:r>
        <w:rPr>
          <w:rFonts w:hint="eastAsia" w:ascii="Times New Roman" w:hAnsi="Times New Roman" w:eastAsia="仿宋" w:cs="仿宋"/>
          <w:kern w:val="2"/>
          <w:sz w:val="28"/>
          <w:szCs w:val="21"/>
          <w:lang w:val="en-US" w:eastAsia="zh-CN" w:bidi="ar"/>
        </w:rPr>
        <w:t>是</w:t>
      </w:r>
      <w:bookmarkStart w:id="382" w:name="_Hlk96887683"/>
      <w:r>
        <w:rPr>
          <w:rFonts w:hint="eastAsia" w:ascii="Times New Roman" w:hAnsi="Times New Roman" w:eastAsia="仿宋" w:cs="仿宋"/>
          <w:kern w:val="2"/>
          <w:sz w:val="28"/>
          <w:szCs w:val="21"/>
          <w:lang w:val="en-US" w:eastAsia="zh-CN" w:bidi="ar"/>
        </w:rPr>
        <w:t>飞灰、炉渣运输及外排处理费</w:t>
      </w:r>
      <w:bookmarkEnd w:id="382"/>
      <w:r>
        <w:rPr>
          <w:rFonts w:hint="eastAsia" w:ascii="Times New Roman" w:hAnsi="Times New Roman" w:eastAsia="仿宋" w:cs="仿宋"/>
          <w:kern w:val="2"/>
          <w:sz w:val="28"/>
          <w:szCs w:val="21"/>
          <w:lang w:val="en-US" w:eastAsia="zh-CN" w:bidi="ar"/>
        </w:rPr>
        <w:t>在垃圾处理服务费单价构成中所占的比例；</w:t>
      </w:r>
    </w:p>
    <w:p w14:paraId="4A7CAE6B">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f</w:t>
      </w:r>
      <w:r>
        <w:rPr>
          <w:rFonts w:hint="eastAsia" w:ascii="Times New Roman" w:hAnsi="Times New Roman" w:eastAsia="仿宋" w:cs="仿宋"/>
          <w:kern w:val="2"/>
          <w:sz w:val="28"/>
          <w:szCs w:val="21"/>
          <w:lang w:val="en-US" w:eastAsia="zh-CN" w:bidi="ar"/>
        </w:rPr>
        <w:t>是除电容电费、人工成本、药剂费、税费、飞灰、炉渣运输及外排处理费外，包括更新改造设备价格、管理费用等其他经营成本在垃圾处理服务费单价构成中所占的比例；</w:t>
      </w:r>
    </w:p>
    <w:p w14:paraId="213581CC">
      <w:pPr>
        <w:keepNext w:val="0"/>
        <w:keepLines w:val="0"/>
        <w:widowControl w:val="0"/>
        <w:suppressLineNumbers w:val="0"/>
        <w:spacing w:before="0" w:beforeAutospacing="0" w:after="0" w:afterAutospacing="0" w:line="360" w:lineRule="auto"/>
        <w:ind w:left="0" w:right="0" w:firstLine="560" w:firstLineChars="200"/>
        <w:jc w:val="both"/>
        <w:rPr>
          <w:lang w:val="en-US"/>
        </w:rPr>
      </w:pPr>
      <w:r>
        <w:rPr>
          <w:rFonts w:hint="default" w:ascii="Times New Roman" w:hAnsi="Times New Roman" w:eastAsia="仿宋" w:cs="Times New Roman"/>
          <w:kern w:val="2"/>
          <w:sz w:val="28"/>
          <w:szCs w:val="21"/>
          <w:lang w:val="en-US" w:eastAsia="zh-CN" w:bidi="ar"/>
        </w:rPr>
        <w:t>g</w:t>
      </w:r>
      <w:r>
        <w:rPr>
          <w:rFonts w:hint="eastAsia" w:ascii="Times New Roman" w:hAnsi="Times New Roman" w:eastAsia="仿宋" w:cs="仿宋"/>
          <w:kern w:val="2"/>
          <w:sz w:val="28"/>
          <w:szCs w:val="21"/>
          <w:lang w:val="en-US" w:eastAsia="zh-CN" w:bidi="ar"/>
        </w:rPr>
        <w:t>是利润及折旧摊销部分在垃圾处理服务费单价构成中所占的比例。</w:t>
      </w:r>
    </w:p>
    <w:p w14:paraId="65C479C7">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eastAsia" w:ascii="Times New Roman" w:hAnsi="Times New Roman" w:eastAsia="仿宋" w:cs="仿宋"/>
          <w:kern w:val="2"/>
          <w:sz w:val="28"/>
          <w:szCs w:val="21"/>
          <w:lang w:val="en-US" w:eastAsia="zh-CN" w:bidi="ar"/>
        </w:rPr>
        <w:t>其中，</w:t>
      </w:r>
      <w:r>
        <w:rPr>
          <w:rFonts w:hint="default" w:ascii="Times New Roman" w:hAnsi="Times New Roman" w:eastAsia="仿宋" w:cs="Times New Roman"/>
          <w:kern w:val="2"/>
          <w:sz w:val="28"/>
          <w:szCs w:val="21"/>
          <w:lang w:val="en-US" w:eastAsia="zh-CN" w:bidi="ar"/>
        </w:rPr>
        <w:t>a</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b</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c</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d</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e</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f</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g</w:t>
      </w:r>
      <w:r>
        <w:rPr>
          <w:rFonts w:hint="eastAsia" w:ascii="Times New Roman" w:hAnsi="Times New Roman" w:eastAsia="仿宋" w:cs="仿宋"/>
          <w:kern w:val="2"/>
          <w:sz w:val="28"/>
          <w:szCs w:val="21"/>
          <w:lang w:val="en-US" w:eastAsia="zh-CN" w:bidi="ar"/>
        </w:rPr>
        <w:t>的值于合同生效日确定，如果垃圾处理工艺或者相关法律、法规、政策等条件发生变化或变更，导致上述</w:t>
      </w:r>
      <w:r>
        <w:rPr>
          <w:rFonts w:hint="default" w:ascii="Times New Roman" w:hAnsi="Times New Roman" w:eastAsia="仿宋" w:cs="Times New Roman"/>
          <w:kern w:val="2"/>
          <w:sz w:val="28"/>
          <w:szCs w:val="21"/>
          <w:lang w:val="en-US" w:eastAsia="zh-CN" w:bidi="ar"/>
        </w:rPr>
        <w:t>a~g</w:t>
      </w:r>
      <w:r>
        <w:rPr>
          <w:rFonts w:hint="eastAsia" w:ascii="Times New Roman" w:hAnsi="Times New Roman" w:eastAsia="仿宋" w:cs="仿宋"/>
          <w:kern w:val="2"/>
          <w:sz w:val="28"/>
          <w:szCs w:val="21"/>
          <w:lang w:val="en-US" w:eastAsia="zh-CN" w:bidi="ar"/>
        </w:rPr>
        <w:t>发生变化时，双方应协商变更</w:t>
      </w:r>
      <w:r>
        <w:rPr>
          <w:rFonts w:hint="default" w:ascii="Times New Roman" w:hAnsi="Times New Roman" w:eastAsia="仿宋" w:cs="Times New Roman"/>
          <w:kern w:val="2"/>
          <w:sz w:val="28"/>
          <w:szCs w:val="21"/>
          <w:lang w:val="en-US" w:eastAsia="zh-CN" w:bidi="ar"/>
        </w:rPr>
        <w:t>a~g</w:t>
      </w:r>
      <w:r>
        <w:rPr>
          <w:rFonts w:hint="eastAsia" w:ascii="Times New Roman" w:hAnsi="Times New Roman" w:eastAsia="仿宋" w:cs="仿宋"/>
          <w:kern w:val="2"/>
          <w:sz w:val="28"/>
          <w:szCs w:val="21"/>
          <w:lang w:val="en-US" w:eastAsia="zh-CN" w:bidi="ar"/>
        </w:rPr>
        <w:t>的值。</w:t>
      </w:r>
      <w:bookmarkEnd w:id="381"/>
    </w:p>
    <w:p w14:paraId="14A1771F">
      <w:pPr>
        <w:pStyle w:val="2"/>
        <w:rPr>
          <w:lang w:val="en-US"/>
        </w:rPr>
      </w:pPr>
    </w:p>
    <w:p w14:paraId="589B1B61">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调价系数表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6"/>
        <w:gridCol w:w="626"/>
        <w:gridCol w:w="6888"/>
      </w:tblGrid>
      <w:tr w14:paraId="50CE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31E61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n</w:t>
            </w:r>
          </w:p>
        </w:tc>
        <w:tc>
          <w:tcPr>
            <w:tcW w:w="367" w:type="pct"/>
            <w:shd w:val="clear" w:color="auto" w:fill="auto"/>
            <w:vAlign w:val="center"/>
          </w:tcPr>
          <w:p w14:paraId="46C19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1FDED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w:t>
            </w:r>
            <w:r>
              <w:rPr>
                <w:rFonts w:hint="eastAsia" w:ascii="Times New Roman" w:hAnsi="Times New Roman" w:eastAsia="仿宋" w:cs="仿宋"/>
                <w:kern w:val="2"/>
                <w:sz w:val="28"/>
                <w:szCs w:val="21"/>
                <w:lang w:val="en-US" w:eastAsia="zh-CN" w:bidi="ar"/>
              </w:rPr>
              <w:t>年是垃圾处理费进行调整的当年。</w:t>
            </w:r>
          </w:p>
        </w:tc>
      </w:tr>
      <w:tr w14:paraId="3B67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7607F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E</w:t>
            </w:r>
            <w:r>
              <w:rPr>
                <w:rFonts w:hint="default" w:ascii="Times New Roman" w:hAnsi="Times New Roman" w:eastAsia="仿宋" w:cs="Times New Roman"/>
                <w:kern w:val="2"/>
                <w:sz w:val="28"/>
                <w:szCs w:val="21"/>
                <w:vertAlign w:val="subscript"/>
                <w:lang w:val="en-US" w:eastAsia="zh-CN" w:bidi="ar"/>
              </w:rPr>
              <w:t>n-1</w:t>
            </w:r>
          </w:p>
        </w:tc>
        <w:tc>
          <w:tcPr>
            <w:tcW w:w="367" w:type="pct"/>
            <w:shd w:val="clear" w:color="auto" w:fill="auto"/>
            <w:vAlign w:val="center"/>
          </w:tcPr>
          <w:p w14:paraId="5B160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7AB34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bCs/>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年份</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市电网销售电价表中规定的电容单价。</w:t>
            </w:r>
          </w:p>
        </w:tc>
      </w:tr>
      <w:tr w14:paraId="5A1E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0926D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E</w:t>
            </w:r>
            <w:r>
              <w:rPr>
                <w:rFonts w:hint="default" w:ascii="Times New Roman" w:hAnsi="Times New Roman" w:eastAsia="仿宋" w:cs="Times New Roman"/>
                <w:kern w:val="2"/>
                <w:sz w:val="28"/>
                <w:szCs w:val="21"/>
                <w:vertAlign w:val="subscript"/>
                <w:lang w:val="en-US" w:eastAsia="zh-CN" w:bidi="ar"/>
              </w:rPr>
              <w:t>n-4</w:t>
            </w:r>
          </w:p>
        </w:tc>
        <w:tc>
          <w:tcPr>
            <w:tcW w:w="367" w:type="pct"/>
            <w:shd w:val="clear" w:color="auto" w:fill="auto"/>
            <w:vAlign w:val="center"/>
          </w:tcPr>
          <w:p w14:paraId="4E45F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58FED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bCs/>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年份</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市电网销售电价表中规定的电容单价。</w:t>
            </w:r>
          </w:p>
        </w:tc>
      </w:tr>
      <w:tr w14:paraId="5F53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4FE90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L</w:t>
            </w:r>
            <w:r>
              <w:rPr>
                <w:rFonts w:hint="default" w:ascii="Times New Roman" w:hAnsi="Times New Roman" w:eastAsia="仿宋" w:cs="Times New Roman"/>
                <w:kern w:val="2"/>
                <w:sz w:val="28"/>
                <w:szCs w:val="21"/>
                <w:vertAlign w:val="subscript"/>
                <w:lang w:val="en-US" w:eastAsia="zh-CN" w:bidi="ar"/>
              </w:rPr>
              <w:t>n</w:t>
            </w:r>
          </w:p>
        </w:tc>
        <w:tc>
          <w:tcPr>
            <w:tcW w:w="367" w:type="pct"/>
            <w:shd w:val="clear" w:color="auto" w:fill="auto"/>
            <w:vAlign w:val="center"/>
          </w:tcPr>
          <w:p w14:paraId="3F6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66567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《职工人数和工资》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n-2</w:t>
            </w:r>
            <w:r>
              <w:rPr>
                <w:rFonts w:hint="eastAsia" w:ascii="Times New Roman" w:hAnsi="Times New Roman" w:eastAsia="仿宋" w:cs="仿宋"/>
                <w:kern w:val="2"/>
                <w:sz w:val="28"/>
                <w:szCs w:val="21"/>
                <w:lang w:val="en-US" w:eastAsia="zh-CN" w:bidi="ar"/>
              </w:rPr>
              <w:t>年的在岗职工年平均工资除以</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《职工人数和工资》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n-5</w:t>
            </w:r>
            <w:r>
              <w:rPr>
                <w:rFonts w:hint="eastAsia" w:ascii="Times New Roman" w:hAnsi="Times New Roman" w:eastAsia="仿宋" w:cs="仿宋"/>
                <w:kern w:val="2"/>
                <w:sz w:val="28"/>
                <w:szCs w:val="21"/>
                <w:lang w:val="en-US" w:eastAsia="zh-CN" w:bidi="ar"/>
              </w:rPr>
              <w:t>年的在岗职工年平均工资。</w:t>
            </w:r>
            <w:r>
              <w:rPr>
                <w:rFonts w:hint="default" w:ascii="Times New Roman" w:hAnsi="Times New Roman" w:eastAsia="仿宋" w:cs="Times New Roman"/>
                <w:kern w:val="2"/>
                <w:sz w:val="28"/>
                <w:szCs w:val="21"/>
                <w:highlight w:val="none"/>
                <w:shd w:val="clear" w:fill="FFFFFF" w:themeFill="background1"/>
                <w:lang w:val="en-US" w:eastAsia="zh-CN" w:bidi="ar"/>
              </w:rPr>
              <w:t>L</w:t>
            </w:r>
            <w:r>
              <w:rPr>
                <w:rFonts w:hint="default" w:ascii="Times New Roman" w:hAnsi="Times New Roman" w:eastAsia="仿宋" w:cs="Times New Roman"/>
                <w:kern w:val="2"/>
                <w:sz w:val="28"/>
                <w:szCs w:val="21"/>
                <w:highlight w:val="none"/>
                <w:shd w:val="clear" w:fill="FFFFFF" w:themeFill="background1"/>
                <w:vertAlign w:val="subscript"/>
                <w:lang w:val="en-US" w:eastAsia="zh-CN" w:bidi="ar"/>
              </w:rPr>
              <w:t>n</w:t>
            </w:r>
            <w:r>
              <w:rPr>
                <w:rFonts w:hint="eastAsia" w:ascii="Times New Roman" w:hAnsi="Times New Roman" w:eastAsia="仿宋" w:cs="仿宋"/>
                <w:kern w:val="2"/>
                <w:sz w:val="28"/>
                <w:szCs w:val="21"/>
                <w:highlight w:val="none"/>
                <w:shd w:val="clear" w:fill="FFFFFF" w:themeFill="background1"/>
                <w:lang w:val="en-US" w:eastAsia="zh-CN" w:bidi="ar"/>
              </w:rPr>
              <w:t>大于</w:t>
            </w:r>
            <w:r>
              <w:rPr>
                <w:rFonts w:hint="default" w:ascii="Times New Roman" w:hAnsi="Times New Roman" w:eastAsia="仿宋" w:cs="Times New Roman"/>
                <w:kern w:val="2"/>
                <w:sz w:val="28"/>
                <w:szCs w:val="21"/>
                <w:highlight w:val="none"/>
                <w:shd w:val="clear" w:fill="FFFFFF" w:themeFill="background1"/>
                <w:lang w:val="en-US" w:eastAsia="zh-CN" w:bidi="ar"/>
              </w:rPr>
              <w:t>109%</w:t>
            </w:r>
            <w:r>
              <w:rPr>
                <w:rFonts w:hint="eastAsia" w:ascii="Times New Roman" w:hAnsi="Times New Roman" w:eastAsia="仿宋" w:cs="仿宋"/>
                <w:kern w:val="2"/>
                <w:sz w:val="28"/>
                <w:szCs w:val="21"/>
                <w:highlight w:val="none"/>
                <w:shd w:val="clear" w:fill="FFFFFF" w:themeFill="background1"/>
                <w:lang w:val="en-US" w:eastAsia="zh-CN" w:bidi="ar"/>
              </w:rPr>
              <w:t>时，按</w:t>
            </w:r>
            <w:r>
              <w:rPr>
                <w:rFonts w:hint="default" w:ascii="Times New Roman" w:hAnsi="Times New Roman" w:eastAsia="仿宋" w:cs="Times New Roman"/>
                <w:kern w:val="2"/>
                <w:sz w:val="28"/>
                <w:szCs w:val="21"/>
                <w:highlight w:val="none"/>
                <w:shd w:val="clear" w:fill="FFFFFF" w:themeFill="background1"/>
                <w:lang w:val="en-US" w:eastAsia="zh-CN" w:bidi="ar"/>
              </w:rPr>
              <w:t>109%</w:t>
            </w:r>
            <w:r>
              <w:rPr>
                <w:rFonts w:hint="eastAsia" w:ascii="Times New Roman" w:hAnsi="Times New Roman" w:eastAsia="仿宋" w:cs="仿宋"/>
                <w:kern w:val="2"/>
                <w:sz w:val="28"/>
                <w:szCs w:val="21"/>
                <w:highlight w:val="none"/>
                <w:shd w:val="clear" w:fill="FFFFFF" w:themeFill="background1"/>
                <w:lang w:val="en-US" w:eastAsia="zh-CN" w:bidi="ar"/>
              </w:rPr>
              <w:t>计。</w:t>
            </w:r>
            <w:r>
              <w:rPr>
                <w:rFonts w:hint="default" w:ascii="Times New Roman" w:hAnsi="Times New Roman" w:eastAsia="仿宋" w:cs="Times New Roman"/>
                <w:kern w:val="2"/>
                <w:sz w:val="28"/>
                <w:szCs w:val="21"/>
                <w:highlight w:val="none"/>
                <w:shd w:val="clear" w:fill="FFFFFF" w:themeFill="background1"/>
                <w:lang w:val="en-US" w:eastAsia="zh-CN" w:bidi="ar"/>
              </w:rPr>
              <w:t>L</w:t>
            </w:r>
            <w:r>
              <w:rPr>
                <w:rFonts w:hint="default" w:ascii="Times New Roman" w:hAnsi="Times New Roman" w:eastAsia="仿宋" w:cs="Times New Roman"/>
                <w:kern w:val="2"/>
                <w:sz w:val="28"/>
                <w:szCs w:val="21"/>
                <w:highlight w:val="none"/>
                <w:shd w:val="clear" w:fill="FFFFFF" w:themeFill="background1"/>
                <w:vertAlign w:val="subscript"/>
                <w:lang w:val="en-US" w:eastAsia="zh-CN" w:bidi="ar"/>
              </w:rPr>
              <w:t>n</w:t>
            </w:r>
            <w:r>
              <w:rPr>
                <w:rFonts w:hint="eastAsia" w:ascii="Times New Roman" w:hAnsi="Times New Roman" w:eastAsia="仿宋" w:cs="仿宋"/>
                <w:kern w:val="2"/>
                <w:sz w:val="28"/>
                <w:szCs w:val="21"/>
                <w:highlight w:val="none"/>
                <w:shd w:val="clear" w:fill="FFFFFF" w:themeFill="background1"/>
                <w:lang w:val="en-US" w:eastAsia="zh-CN" w:bidi="ar"/>
              </w:rPr>
              <w:t>小于</w:t>
            </w:r>
            <w:r>
              <w:rPr>
                <w:rFonts w:hint="default" w:ascii="Times New Roman" w:hAnsi="Times New Roman" w:eastAsia="仿宋" w:cs="Times New Roman"/>
                <w:kern w:val="2"/>
                <w:sz w:val="28"/>
                <w:szCs w:val="21"/>
                <w:highlight w:val="none"/>
                <w:shd w:val="clear" w:fill="FFFFFF" w:themeFill="background1"/>
                <w:lang w:val="en-US" w:eastAsia="zh-CN" w:bidi="ar"/>
              </w:rPr>
              <w:t>91%</w:t>
            </w:r>
            <w:r>
              <w:rPr>
                <w:rFonts w:hint="eastAsia" w:ascii="Times New Roman" w:hAnsi="Times New Roman" w:eastAsia="仿宋" w:cs="仿宋"/>
                <w:kern w:val="2"/>
                <w:sz w:val="28"/>
                <w:szCs w:val="21"/>
                <w:highlight w:val="none"/>
                <w:shd w:val="clear" w:fill="FFFFFF" w:themeFill="background1"/>
                <w:lang w:val="en-US" w:eastAsia="zh-CN" w:bidi="ar"/>
              </w:rPr>
              <w:t>时，按</w:t>
            </w:r>
            <w:r>
              <w:rPr>
                <w:rFonts w:hint="default" w:ascii="Times New Roman" w:hAnsi="Times New Roman" w:eastAsia="仿宋" w:cs="Times New Roman"/>
                <w:kern w:val="2"/>
                <w:sz w:val="28"/>
                <w:szCs w:val="21"/>
                <w:highlight w:val="none"/>
                <w:shd w:val="clear" w:fill="FFFFFF" w:themeFill="background1"/>
                <w:lang w:val="en-US" w:eastAsia="zh-CN" w:bidi="ar"/>
              </w:rPr>
              <w:t>91%</w:t>
            </w:r>
            <w:r>
              <w:rPr>
                <w:rFonts w:hint="eastAsia" w:ascii="Times New Roman" w:hAnsi="Times New Roman" w:eastAsia="仿宋" w:cs="仿宋"/>
                <w:kern w:val="2"/>
                <w:sz w:val="28"/>
                <w:szCs w:val="21"/>
                <w:highlight w:val="none"/>
                <w:shd w:val="clear" w:fill="FFFFFF" w:themeFill="background1"/>
                <w:lang w:val="en-US" w:eastAsia="zh-CN" w:bidi="ar"/>
              </w:rPr>
              <w:t>计。</w:t>
            </w:r>
          </w:p>
        </w:tc>
      </w:tr>
      <w:tr w14:paraId="6A59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3BF20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Ch</w:t>
            </w:r>
            <w:r>
              <w:rPr>
                <w:rFonts w:hint="default" w:ascii="Times New Roman" w:hAnsi="Times New Roman" w:eastAsia="仿宋" w:cs="Times New Roman"/>
                <w:kern w:val="2"/>
                <w:sz w:val="28"/>
                <w:szCs w:val="21"/>
                <w:vertAlign w:val="subscript"/>
                <w:lang w:val="en-US" w:eastAsia="zh-CN" w:bidi="ar"/>
              </w:rPr>
              <w:t>n</w:t>
            </w:r>
          </w:p>
        </w:tc>
        <w:tc>
          <w:tcPr>
            <w:tcW w:w="367" w:type="pct"/>
            <w:shd w:val="clear" w:color="auto" w:fill="auto"/>
            <w:vAlign w:val="center"/>
          </w:tcPr>
          <w:p w14:paraId="6D755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5806F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eastAsia" w:ascii="Times New Roman" w:hAnsi="Times New Roman" w:eastAsia="仿宋" w:cs="仿宋"/>
                <w:color w:val="auto"/>
                <w:kern w:val="2"/>
                <w:sz w:val="28"/>
                <w:szCs w:val="21"/>
                <w:shd w:val="clear" w:fill="FFFFFF"/>
                <w:lang w:val="en-US" w:eastAsia="zh-CN" w:bidi="ar"/>
              </w:rPr>
              <w:t>工业生产者购进价格指数</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化工原料类</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n-2</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年的百分比指数乘以</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n-2</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eastAsia" w:ascii="Times New Roman" w:hAnsi="Times New Roman" w:eastAsia="仿宋" w:cs="仿宋"/>
                <w:color w:val="auto"/>
                <w:kern w:val="2"/>
                <w:sz w:val="28"/>
                <w:szCs w:val="21"/>
                <w:shd w:val="clear" w:fill="FFFFFF"/>
                <w:lang w:val="en-US" w:eastAsia="zh-CN" w:bidi="ar"/>
              </w:rPr>
              <w:t>工业生产者购进价格指数</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化工原料类</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年的百分比指数乘以</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w:t>
            </w:r>
            <w:r>
              <w:rPr>
                <w:rFonts w:hint="eastAsia" w:ascii="Times New Roman" w:hAnsi="Times New Roman" w:eastAsia="仿宋" w:cs="仿宋"/>
                <w:color w:val="auto"/>
                <w:kern w:val="2"/>
                <w:sz w:val="28"/>
                <w:szCs w:val="21"/>
                <w:shd w:val="clear" w:fill="FFFFFF"/>
                <w:lang w:val="en-US" w:eastAsia="zh-CN" w:bidi="ar"/>
              </w:rPr>
              <w:t>工业生产者购进价格指数</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化工原料类</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n-5</w:t>
            </w:r>
            <w:r>
              <w:rPr>
                <w:rFonts w:hint="eastAsia" w:ascii="Times New Roman" w:hAnsi="Times New Roman" w:eastAsia="仿宋" w:cs="仿宋"/>
                <w:kern w:val="2"/>
                <w:sz w:val="28"/>
                <w:szCs w:val="21"/>
                <w:lang w:val="en-US" w:eastAsia="zh-CN" w:bidi="ar"/>
              </w:rPr>
              <w:t>年的百分比指数；</w:t>
            </w:r>
            <w:r>
              <w:rPr>
                <w:rFonts w:hint="default" w:ascii="Times New Roman" w:hAnsi="Times New Roman" w:eastAsia="仿宋" w:cs="Times New Roman"/>
                <w:kern w:val="2"/>
                <w:sz w:val="28"/>
                <w:szCs w:val="21"/>
                <w:lang w:val="en-US" w:eastAsia="zh-CN" w:bidi="ar"/>
              </w:rPr>
              <w:t>Ch</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大于</w:t>
            </w:r>
            <w:r>
              <w:rPr>
                <w:rFonts w:hint="default" w:ascii="Times New Roman" w:hAnsi="Times New Roman" w:eastAsia="仿宋" w:cs="Times New Roman"/>
                <w:kern w:val="2"/>
                <w:sz w:val="28"/>
                <w:szCs w:val="21"/>
                <w:lang w:val="en-US" w:eastAsia="zh-CN" w:bidi="ar"/>
              </w:rPr>
              <w:t>109%</w:t>
            </w:r>
            <w:r>
              <w:rPr>
                <w:rFonts w:hint="eastAsia" w:ascii="Times New Roman" w:hAnsi="Times New Roman" w:eastAsia="仿宋" w:cs="仿宋"/>
                <w:kern w:val="2"/>
                <w:sz w:val="28"/>
                <w:szCs w:val="21"/>
                <w:lang w:val="en-US" w:eastAsia="zh-CN" w:bidi="ar"/>
              </w:rPr>
              <w:t>时，按</w:t>
            </w:r>
            <w:r>
              <w:rPr>
                <w:rFonts w:hint="default" w:ascii="Times New Roman" w:hAnsi="Times New Roman" w:eastAsia="仿宋" w:cs="Times New Roman"/>
                <w:kern w:val="2"/>
                <w:sz w:val="28"/>
                <w:szCs w:val="21"/>
                <w:lang w:val="en-US" w:eastAsia="zh-CN" w:bidi="ar"/>
              </w:rPr>
              <w:t>109%</w:t>
            </w:r>
            <w:r>
              <w:rPr>
                <w:rFonts w:hint="eastAsia" w:ascii="Times New Roman" w:hAnsi="Times New Roman" w:eastAsia="仿宋" w:cs="仿宋"/>
                <w:kern w:val="2"/>
                <w:sz w:val="28"/>
                <w:szCs w:val="21"/>
                <w:lang w:val="en-US" w:eastAsia="zh-CN" w:bidi="ar"/>
              </w:rPr>
              <w:t>计。</w:t>
            </w:r>
            <w:r>
              <w:rPr>
                <w:rFonts w:hint="default" w:ascii="Times New Roman" w:hAnsi="Times New Roman" w:eastAsia="仿宋" w:cs="Times New Roman"/>
                <w:kern w:val="2"/>
                <w:sz w:val="28"/>
                <w:szCs w:val="21"/>
                <w:lang w:val="en-US" w:eastAsia="zh-CN" w:bidi="ar"/>
              </w:rPr>
              <w:t>Ch</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小于</w:t>
            </w:r>
            <w:r>
              <w:rPr>
                <w:rFonts w:hint="default" w:ascii="Times New Roman" w:hAnsi="Times New Roman" w:eastAsia="仿宋" w:cs="Times New Roman"/>
                <w:kern w:val="2"/>
                <w:sz w:val="28"/>
                <w:szCs w:val="21"/>
                <w:lang w:val="en-US" w:eastAsia="zh-CN" w:bidi="ar"/>
              </w:rPr>
              <w:t>91%</w:t>
            </w:r>
            <w:r>
              <w:rPr>
                <w:rFonts w:hint="eastAsia" w:ascii="Times New Roman" w:hAnsi="Times New Roman" w:eastAsia="仿宋" w:cs="仿宋"/>
                <w:kern w:val="2"/>
                <w:sz w:val="28"/>
                <w:szCs w:val="21"/>
                <w:lang w:val="en-US" w:eastAsia="zh-CN" w:bidi="ar"/>
              </w:rPr>
              <w:t>时，按</w:t>
            </w:r>
            <w:r>
              <w:rPr>
                <w:rFonts w:hint="default" w:ascii="Times New Roman" w:hAnsi="Times New Roman" w:eastAsia="仿宋" w:cs="Times New Roman"/>
                <w:kern w:val="2"/>
                <w:sz w:val="28"/>
                <w:szCs w:val="21"/>
                <w:lang w:val="en-US" w:eastAsia="zh-CN" w:bidi="ar"/>
              </w:rPr>
              <w:t>91%</w:t>
            </w:r>
            <w:r>
              <w:rPr>
                <w:rFonts w:hint="eastAsia" w:ascii="Times New Roman" w:hAnsi="Times New Roman" w:eastAsia="仿宋" w:cs="仿宋"/>
                <w:kern w:val="2"/>
                <w:sz w:val="28"/>
                <w:szCs w:val="21"/>
                <w:lang w:val="en-US" w:eastAsia="zh-CN" w:bidi="ar"/>
              </w:rPr>
              <w:t>计。</w:t>
            </w:r>
          </w:p>
        </w:tc>
      </w:tr>
      <w:tr w14:paraId="5912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0A2C5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bCs/>
                <w:lang w:val="en-US"/>
              </w:rPr>
            </w:pPr>
            <w:r>
              <w:rPr>
                <w:rFonts w:hint="default" w:ascii="Times New Roman" w:hAnsi="Times New Roman" w:eastAsia="仿宋" w:cs="Times New Roman"/>
                <w:kern w:val="2"/>
                <w:sz w:val="28"/>
                <w:szCs w:val="21"/>
                <w:lang w:val="en-US" w:eastAsia="zh-CN" w:bidi="ar"/>
              </w:rPr>
              <w:t>Tax</w:t>
            </w:r>
            <w:r>
              <w:rPr>
                <w:rFonts w:hint="default" w:ascii="Times New Roman" w:hAnsi="Times New Roman" w:eastAsia="仿宋" w:cs="Times New Roman"/>
                <w:kern w:val="2"/>
                <w:sz w:val="28"/>
                <w:szCs w:val="21"/>
                <w:vertAlign w:val="subscript"/>
                <w:lang w:val="en-US" w:eastAsia="zh-CN" w:bidi="ar"/>
              </w:rPr>
              <w:t>n-1</w:t>
            </w:r>
          </w:p>
        </w:tc>
        <w:tc>
          <w:tcPr>
            <w:tcW w:w="367" w:type="pct"/>
            <w:shd w:val="clear" w:color="auto" w:fill="auto"/>
            <w:vAlign w:val="center"/>
          </w:tcPr>
          <w:p w14:paraId="2E660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4CBC5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年乙方适用的综合税率（该税率是指乙方一般适用的正常税率，不考虑适用法律规定的减免或其他优惠情况，即垃圾处理单价不因乙方是否处于所得税减免优惠期而做任何调整）</w:t>
            </w:r>
          </w:p>
        </w:tc>
      </w:tr>
      <w:tr w14:paraId="7120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45B54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default" w:ascii="Times New Roman" w:hAnsi="Times New Roman" w:eastAsia="仿宋" w:cs="Times New Roman"/>
                <w:kern w:val="2"/>
                <w:sz w:val="28"/>
                <w:szCs w:val="21"/>
                <w:lang w:val="en-US" w:eastAsia="zh-CN" w:bidi="ar"/>
              </w:rPr>
              <w:t>Tax</w:t>
            </w:r>
            <w:r>
              <w:rPr>
                <w:rFonts w:hint="default" w:ascii="Times New Roman" w:hAnsi="Times New Roman" w:eastAsia="仿宋" w:cs="Times New Roman"/>
                <w:kern w:val="2"/>
                <w:sz w:val="28"/>
                <w:szCs w:val="21"/>
                <w:vertAlign w:val="subscript"/>
                <w:lang w:val="en-US" w:eastAsia="zh-CN" w:bidi="ar"/>
              </w:rPr>
              <w:t>n-4</w:t>
            </w:r>
          </w:p>
        </w:tc>
        <w:tc>
          <w:tcPr>
            <w:tcW w:w="367" w:type="pct"/>
            <w:shd w:val="clear" w:color="auto" w:fill="auto"/>
            <w:vAlign w:val="center"/>
          </w:tcPr>
          <w:p w14:paraId="21680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73161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年乙方适用的综合税率（适用法律规定的基准税率，不考虑税收减免或其他优惠）</w:t>
            </w:r>
          </w:p>
        </w:tc>
      </w:tr>
      <w:tr w14:paraId="6D3B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16982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sz w:val="24"/>
                <w:szCs w:val="28"/>
                <w:lang w:val="en-US"/>
              </w:rPr>
            </w:pPr>
            <w:r>
              <w:rPr>
                <w:rFonts w:hint="default" w:ascii="Times New Roman" w:hAnsi="Times New Roman" w:eastAsia="仿宋" w:cs="Times New Roman"/>
                <w:kern w:val="2"/>
                <w:sz w:val="28"/>
                <w:szCs w:val="21"/>
                <w:lang w:val="en-US" w:eastAsia="zh-CN" w:bidi="ar"/>
              </w:rPr>
              <w:t>T</w:t>
            </w:r>
            <w:r>
              <w:rPr>
                <w:rFonts w:hint="default" w:ascii="Times New Roman" w:hAnsi="Times New Roman" w:eastAsia="仿宋" w:cs="Times New Roman"/>
                <w:kern w:val="2"/>
                <w:sz w:val="28"/>
                <w:szCs w:val="21"/>
                <w:vertAlign w:val="subscript"/>
                <w:lang w:val="en-US" w:eastAsia="zh-CN" w:bidi="ar"/>
              </w:rPr>
              <w:t>n-1</w:t>
            </w:r>
          </w:p>
        </w:tc>
        <w:tc>
          <w:tcPr>
            <w:tcW w:w="367" w:type="pct"/>
            <w:shd w:val="clear" w:color="auto" w:fill="auto"/>
            <w:vAlign w:val="center"/>
          </w:tcPr>
          <w:p w14:paraId="3BEBE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5986B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年乙方实际单吨垃圾飞灰、炉渣运输及外排处理费处理成本。</w:t>
            </w:r>
          </w:p>
        </w:tc>
      </w:tr>
      <w:tr w14:paraId="4960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5AD31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sz w:val="24"/>
                <w:szCs w:val="28"/>
                <w:lang w:val="en-US"/>
              </w:rPr>
            </w:pPr>
            <w:r>
              <w:rPr>
                <w:rFonts w:hint="default" w:ascii="Times New Roman" w:hAnsi="Times New Roman" w:eastAsia="仿宋" w:cs="Times New Roman"/>
                <w:kern w:val="2"/>
                <w:sz w:val="28"/>
                <w:szCs w:val="21"/>
                <w:lang w:val="en-US" w:eastAsia="zh-CN" w:bidi="ar"/>
              </w:rPr>
              <w:t>T</w:t>
            </w:r>
            <w:r>
              <w:rPr>
                <w:rFonts w:hint="default" w:ascii="Times New Roman" w:hAnsi="Times New Roman" w:eastAsia="仿宋" w:cs="Times New Roman"/>
                <w:kern w:val="2"/>
                <w:sz w:val="28"/>
                <w:szCs w:val="21"/>
                <w:vertAlign w:val="subscript"/>
                <w:lang w:val="en-US" w:eastAsia="zh-CN" w:bidi="ar"/>
              </w:rPr>
              <w:t>n-4</w:t>
            </w:r>
          </w:p>
        </w:tc>
        <w:tc>
          <w:tcPr>
            <w:tcW w:w="367" w:type="pct"/>
            <w:shd w:val="clear" w:color="auto" w:fill="auto"/>
            <w:vAlign w:val="center"/>
          </w:tcPr>
          <w:p w14:paraId="1C667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7EF81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年乙方实际单吨垃圾飞灰、炉渣运输及外排处理费处理成本。</w:t>
            </w:r>
          </w:p>
        </w:tc>
      </w:tr>
      <w:tr w14:paraId="59B9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shd w:val="clear" w:color="auto" w:fill="BDD6EE" w:themeFill="accent1" w:themeFillTint="66"/>
            <w:vAlign w:val="center"/>
          </w:tcPr>
          <w:p w14:paraId="589A8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sz w:val="24"/>
                <w:szCs w:val="28"/>
                <w:lang w:val="en-US"/>
              </w:rPr>
            </w:pPr>
            <w:r>
              <w:rPr>
                <w:rFonts w:hint="default" w:ascii="Times New Roman" w:hAnsi="Times New Roman" w:eastAsia="仿宋" w:cs="Times New Roman"/>
                <w:kern w:val="2"/>
                <w:sz w:val="28"/>
                <w:szCs w:val="21"/>
                <w:lang w:val="en-US" w:eastAsia="zh-CN" w:bidi="ar"/>
              </w:rPr>
              <w:t>CPI</w:t>
            </w:r>
            <w:r>
              <w:rPr>
                <w:rFonts w:hint="default" w:ascii="Times New Roman" w:hAnsi="Times New Roman" w:eastAsia="仿宋" w:cs="Times New Roman"/>
                <w:kern w:val="2"/>
                <w:sz w:val="28"/>
                <w:szCs w:val="21"/>
                <w:vertAlign w:val="subscript"/>
                <w:lang w:val="en-US" w:eastAsia="zh-CN" w:bidi="ar"/>
              </w:rPr>
              <w:t>n</w:t>
            </w:r>
          </w:p>
        </w:tc>
        <w:tc>
          <w:tcPr>
            <w:tcW w:w="367" w:type="pct"/>
            <w:shd w:val="clear" w:color="auto" w:fill="auto"/>
            <w:vAlign w:val="center"/>
          </w:tcPr>
          <w:p w14:paraId="6BF96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ascii="Times New Roman" w:hAnsi="Times New Roman" w:eastAsia="仿宋" w:cs="仿宋"/>
                <w:kern w:val="2"/>
                <w:sz w:val="28"/>
                <w:szCs w:val="21"/>
                <w:lang w:val="en-US" w:eastAsia="zh-CN" w:bidi="ar"/>
              </w:rPr>
              <w:t>＝</w:t>
            </w:r>
          </w:p>
        </w:tc>
        <w:tc>
          <w:tcPr>
            <w:tcW w:w="4041" w:type="pct"/>
            <w:shd w:val="clear" w:color="auto" w:fill="auto"/>
            <w:vAlign w:val="center"/>
          </w:tcPr>
          <w:p w14:paraId="2691E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default"/>
                <w:lang w:val="en-US"/>
              </w:rPr>
            </w:pP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n-1</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《居民消费价格指数》</w:t>
            </w:r>
            <w:r>
              <w:rPr>
                <w:rFonts w:hint="default" w:ascii="Times New Roman" w:hAnsi="Times New Roman" w:eastAsia="仿宋" w:cs="Times New Roman"/>
                <w:color w:val="000000"/>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总指数</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n-2</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w:t>
            </w:r>
            <w:r>
              <w:rPr>
                <w:rFonts w:hint="eastAsia" w:ascii="Times New Roman" w:hAnsi="Times New Roman" w:eastAsia="仿宋" w:cs="仿宋"/>
                <w:kern w:val="2"/>
                <w:sz w:val="28"/>
                <w:szCs w:val="21"/>
                <w:lang w:val="en-US" w:eastAsia="zh-CN" w:bidi="ar"/>
              </w:rPr>
              <w:t>－</w:t>
            </w:r>
            <w:r>
              <w:rPr>
                <w:rFonts w:hint="default" w:ascii="Times New Roman" w:hAnsi="Times New Roman" w:eastAsia="仿宋" w:cs="Times New Roman"/>
                <w:kern w:val="2"/>
                <w:sz w:val="28"/>
                <w:szCs w:val="21"/>
                <w:lang w:val="en-US" w:eastAsia="zh-CN" w:bidi="ar"/>
              </w:rPr>
              <w:t>3</w:t>
            </w:r>
            <w:r>
              <w:rPr>
                <w:rFonts w:hint="eastAsia" w:ascii="Times New Roman" w:hAnsi="Times New Roman" w:eastAsia="仿宋" w:cs="仿宋"/>
                <w:kern w:val="2"/>
                <w:sz w:val="28"/>
                <w:szCs w:val="21"/>
                <w:lang w:val="en-US" w:eastAsia="zh-CN" w:bidi="ar"/>
              </w:rPr>
              <w:t>年的百分比指数乘以</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n-2</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《居民消费价格指数》</w:t>
            </w:r>
            <w:r>
              <w:rPr>
                <w:rFonts w:hint="default" w:ascii="Times New Roman" w:hAnsi="Times New Roman" w:eastAsia="仿宋" w:cs="Times New Roman"/>
                <w:color w:val="000000"/>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总指数</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年的百分比指数乘以</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市统计局编制的《第</w:t>
            </w:r>
            <w:r>
              <w:rPr>
                <w:rFonts w:hint="default" w:ascii="Times New Roman" w:hAnsi="Times New Roman" w:eastAsia="仿宋" w:cs="Times New Roman"/>
                <w:kern w:val="2"/>
                <w:sz w:val="28"/>
                <w:szCs w:val="21"/>
                <w:lang w:val="en-US" w:eastAsia="zh-CN" w:bidi="ar"/>
              </w:rPr>
              <w:t>n-3</w:t>
            </w:r>
            <w:r>
              <w:rPr>
                <w:rFonts w:hint="eastAsia" w:ascii="Times New Roman" w:hAnsi="Times New Roman" w:eastAsia="仿宋" w:cs="仿宋"/>
                <w:kern w:val="2"/>
                <w:sz w:val="28"/>
                <w:szCs w:val="21"/>
                <w:lang w:val="en-US" w:eastAsia="zh-CN" w:bidi="ar"/>
              </w:rPr>
              <w:t>年</w:t>
            </w:r>
            <w:r>
              <w:rPr>
                <w:rFonts w:hint="eastAsia" w:cs="仿宋"/>
                <w:kern w:val="2"/>
                <w:sz w:val="28"/>
                <w:szCs w:val="21"/>
                <w:lang w:val="en-US" w:eastAsia="zh-CN" w:bidi="ar"/>
              </w:rPr>
              <w:t>包头</w:t>
            </w:r>
            <w:r>
              <w:rPr>
                <w:rFonts w:hint="eastAsia" w:ascii="Times New Roman" w:hAnsi="Times New Roman" w:eastAsia="仿宋" w:cs="仿宋"/>
                <w:kern w:val="2"/>
                <w:sz w:val="28"/>
                <w:szCs w:val="21"/>
                <w:lang w:val="en-US" w:eastAsia="zh-CN" w:bidi="ar"/>
              </w:rPr>
              <w:t>市统计年鉴》中公布的</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《居民消费价格指数》</w:t>
            </w:r>
            <w:r>
              <w:rPr>
                <w:rFonts w:hint="default" w:ascii="Times New Roman" w:hAnsi="Times New Roman" w:eastAsia="仿宋" w:cs="Times New Roman"/>
                <w:color w:val="000000"/>
                <w:kern w:val="2"/>
                <w:sz w:val="28"/>
                <w:szCs w:val="21"/>
                <w:lang w:val="en-US" w:eastAsia="zh-CN" w:bidi="ar"/>
              </w:rPr>
              <w:t>-</w:t>
            </w:r>
            <w:r>
              <w:rPr>
                <w:rFonts w:hint="eastAsia" w:ascii="Times New Roman" w:hAnsi="Times New Roman" w:eastAsia="仿宋" w:cs="仿宋"/>
                <w:color w:val="000000"/>
                <w:kern w:val="2"/>
                <w:sz w:val="28"/>
                <w:szCs w:val="21"/>
                <w:lang w:val="en-US" w:eastAsia="zh-CN" w:bidi="ar"/>
              </w:rPr>
              <w:t>总指数</w:t>
            </w:r>
            <w:r>
              <w:rPr>
                <w:rFonts w:hint="default" w:ascii="Times New Roman" w:hAnsi="Times New Roman" w:eastAsia="仿宋" w:cs="Times New Roman"/>
                <w:kern w:val="2"/>
                <w:sz w:val="28"/>
                <w:szCs w:val="21"/>
                <w:lang w:val="en-US" w:eastAsia="zh-CN" w:bidi="ar"/>
              </w:rPr>
              <w:t>”</w:t>
            </w:r>
            <w:r>
              <w:rPr>
                <w:rFonts w:hint="eastAsia" w:ascii="Times New Roman" w:hAnsi="Times New Roman" w:eastAsia="仿宋" w:cs="仿宋"/>
                <w:kern w:val="2"/>
                <w:sz w:val="28"/>
                <w:szCs w:val="21"/>
                <w:lang w:val="en-US" w:eastAsia="zh-CN" w:bidi="ar"/>
              </w:rPr>
              <w:t>对应的第</w:t>
            </w:r>
            <w:r>
              <w:rPr>
                <w:rFonts w:hint="default" w:ascii="Times New Roman" w:hAnsi="Times New Roman" w:eastAsia="仿宋" w:cs="Times New Roman"/>
                <w:kern w:val="2"/>
                <w:sz w:val="28"/>
                <w:szCs w:val="21"/>
                <w:lang w:val="en-US" w:eastAsia="zh-CN" w:bidi="ar"/>
              </w:rPr>
              <w:t>n-4</w:t>
            </w:r>
            <w:r>
              <w:rPr>
                <w:rFonts w:hint="eastAsia" w:ascii="Times New Roman" w:hAnsi="Times New Roman" w:eastAsia="仿宋" w:cs="仿宋"/>
                <w:kern w:val="2"/>
                <w:sz w:val="28"/>
                <w:szCs w:val="21"/>
                <w:lang w:val="en-US" w:eastAsia="zh-CN" w:bidi="ar"/>
              </w:rPr>
              <w:t>年对第</w:t>
            </w:r>
            <w:r>
              <w:rPr>
                <w:rFonts w:hint="default" w:ascii="Times New Roman" w:hAnsi="Times New Roman" w:eastAsia="仿宋" w:cs="Times New Roman"/>
                <w:kern w:val="2"/>
                <w:sz w:val="28"/>
                <w:szCs w:val="21"/>
                <w:lang w:val="en-US" w:eastAsia="zh-CN" w:bidi="ar"/>
              </w:rPr>
              <w:t>n-5</w:t>
            </w:r>
            <w:r>
              <w:rPr>
                <w:rFonts w:hint="eastAsia" w:ascii="Times New Roman" w:hAnsi="Times New Roman" w:eastAsia="仿宋" w:cs="仿宋"/>
                <w:kern w:val="2"/>
                <w:sz w:val="28"/>
                <w:szCs w:val="21"/>
                <w:lang w:val="en-US" w:eastAsia="zh-CN" w:bidi="ar"/>
              </w:rPr>
              <w:t>年的百分比指数；</w:t>
            </w:r>
            <w:r>
              <w:rPr>
                <w:rFonts w:hint="default" w:ascii="Times New Roman" w:hAnsi="Times New Roman" w:eastAsia="仿宋" w:cs="Times New Roman"/>
                <w:kern w:val="2"/>
                <w:sz w:val="28"/>
                <w:szCs w:val="21"/>
                <w:lang w:val="en-US" w:eastAsia="zh-CN" w:bidi="ar"/>
              </w:rPr>
              <w:t>CPI</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大于</w:t>
            </w:r>
            <w:r>
              <w:rPr>
                <w:rFonts w:hint="default" w:ascii="Times New Roman" w:hAnsi="Times New Roman" w:eastAsia="仿宋" w:cs="Times New Roman"/>
                <w:kern w:val="2"/>
                <w:sz w:val="28"/>
                <w:szCs w:val="21"/>
                <w:lang w:val="en-US" w:eastAsia="zh-CN" w:bidi="ar"/>
              </w:rPr>
              <w:t>109%</w:t>
            </w:r>
            <w:r>
              <w:rPr>
                <w:rFonts w:hint="eastAsia" w:ascii="Times New Roman" w:hAnsi="Times New Roman" w:eastAsia="仿宋" w:cs="仿宋"/>
                <w:kern w:val="2"/>
                <w:sz w:val="28"/>
                <w:szCs w:val="21"/>
                <w:lang w:val="en-US" w:eastAsia="zh-CN" w:bidi="ar"/>
              </w:rPr>
              <w:t>时，按</w:t>
            </w:r>
            <w:r>
              <w:rPr>
                <w:rFonts w:hint="default" w:ascii="Times New Roman" w:hAnsi="Times New Roman" w:eastAsia="仿宋" w:cs="Times New Roman"/>
                <w:kern w:val="2"/>
                <w:sz w:val="28"/>
                <w:szCs w:val="21"/>
                <w:lang w:val="en-US" w:eastAsia="zh-CN" w:bidi="ar"/>
              </w:rPr>
              <w:t>109%</w:t>
            </w:r>
            <w:r>
              <w:rPr>
                <w:rFonts w:hint="eastAsia" w:ascii="Times New Roman" w:hAnsi="Times New Roman" w:eastAsia="仿宋" w:cs="仿宋"/>
                <w:kern w:val="2"/>
                <w:sz w:val="28"/>
                <w:szCs w:val="21"/>
                <w:lang w:val="en-US" w:eastAsia="zh-CN" w:bidi="ar"/>
              </w:rPr>
              <w:t>计。</w:t>
            </w:r>
            <w:r>
              <w:rPr>
                <w:rFonts w:hint="default" w:ascii="Times New Roman" w:hAnsi="Times New Roman" w:eastAsia="仿宋" w:cs="Times New Roman"/>
                <w:kern w:val="2"/>
                <w:sz w:val="28"/>
                <w:szCs w:val="21"/>
                <w:lang w:val="en-US" w:eastAsia="zh-CN" w:bidi="ar"/>
              </w:rPr>
              <w:t>CPI</w:t>
            </w:r>
            <w:r>
              <w:rPr>
                <w:rFonts w:hint="default" w:ascii="Times New Roman" w:hAnsi="Times New Roman" w:eastAsia="仿宋" w:cs="Times New Roman"/>
                <w:kern w:val="2"/>
                <w:sz w:val="28"/>
                <w:szCs w:val="21"/>
                <w:vertAlign w:val="subscript"/>
                <w:lang w:val="en-US" w:eastAsia="zh-CN" w:bidi="ar"/>
              </w:rPr>
              <w:t>n</w:t>
            </w:r>
            <w:r>
              <w:rPr>
                <w:rFonts w:hint="eastAsia" w:ascii="Times New Roman" w:hAnsi="Times New Roman" w:eastAsia="仿宋" w:cs="仿宋"/>
                <w:kern w:val="2"/>
                <w:sz w:val="28"/>
                <w:szCs w:val="21"/>
                <w:lang w:val="en-US" w:eastAsia="zh-CN" w:bidi="ar"/>
              </w:rPr>
              <w:t>小于</w:t>
            </w:r>
            <w:r>
              <w:rPr>
                <w:rFonts w:hint="default" w:ascii="Times New Roman" w:hAnsi="Times New Roman" w:eastAsia="仿宋" w:cs="Times New Roman"/>
                <w:kern w:val="2"/>
                <w:sz w:val="28"/>
                <w:szCs w:val="21"/>
                <w:lang w:val="en-US" w:eastAsia="zh-CN" w:bidi="ar"/>
              </w:rPr>
              <w:t>91%</w:t>
            </w:r>
            <w:r>
              <w:rPr>
                <w:rFonts w:hint="eastAsia" w:ascii="Times New Roman" w:hAnsi="Times New Roman" w:eastAsia="仿宋" w:cs="仿宋"/>
                <w:kern w:val="2"/>
                <w:sz w:val="28"/>
                <w:szCs w:val="21"/>
                <w:lang w:val="en-US" w:eastAsia="zh-CN" w:bidi="ar"/>
              </w:rPr>
              <w:t>时，按</w:t>
            </w:r>
            <w:r>
              <w:rPr>
                <w:rFonts w:hint="default" w:ascii="Times New Roman" w:hAnsi="Times New Roman" w:eastAsia="仿宋" w:cs="Times New Roman"/>
                <w:kern w:val="2"/>
                <w:sz w:val="28"/>
                <w:szCs w:val="21"/>
                <w:lang w:val="en-US" w:eastAsia="zh-CN" w:bidi="ar"/>
              </w:rPr>
              <w:t>91%</w:t>
            </w:r>
            <w:r>
              <w:rPr>
                <w:rFonts w:hint="eastAsia" w:ascii="Times New Roman" w:hAnsi="Times New Roman" w:eastAsia="仿宋" w:cs="仿宋"/>
                <w:kern w:val="2"/>
                <w:sz w:val="28"/>
                <w:szCs w:val="21"/>
                <w:lang w:val="en-US" w:eastAsia="zh-CN" w:bidi="ar"/>
              </w:rPr>
              <w:t>计。</w:t>
            </w:r>
          </w:p>
        </w:tc>
      </w:tr>
    </w:tbl>
    <w:p w14:paraId="15B9BDDE">
      <w:pPr>
        <w:pStyle w:val="7"/>
        <w:ind w:firstLine="562"/>
        <w:rPr>
          <w:rFonts w:hint="default"/>
          <w:color w:val="000000" w:themeColor="text1"/>
          <w:lang w:val="en-US" w:eastAsia="zh-CN"/>
          <w14:textFill>
            <w14:solidFill>
              <w14:schemeClr w14:val="tx1"/>
            </w14:solidFill>
          </w14:textFill>
        </w:rPr>
      </w:pPr>
      <w:bookmarkStart w:id="383" w:name="_Toc17426"/>
      <w:r>
        <w:rPr>
          <w:rFonts w:hint="eastAsia" w:ascii="Times New Roman" w:hAnsi="Times New Roman" w:eastAsia="仿宋" w:cs="Times New Roman"/>
          <w:kern w:val="2"/>
          <w:sz w:val="28"/>
          <w:szCs w:val="22"/>
          <w:lang w:val="en-US" w:eastAsia="zh-CN" w:bidi="ar"/>
        </w:rPr>
        <w:t>电价政策变更时的调整</w:t>
      </w:r>
    </w:p>
    <w:p w14:paraId="4BE3DCC4">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eastAsia" w:ascii="Times New Roman" w:hAnsi="Times New Roman" w:eastAsia="仿宋" w:cs="仿宋"/>
          <w:kern w:val="2"/>
          <w:sz w:val="28"/>
          <w:szCs w:val="21"/>
          <w:lang w:val="en-US" w:eastAsia="zh-CN" w:bidi="ar"/>
        </w:rPr>
        <w:t>本项目上网电价按照前</w:t>
      </w:r>
      <w:r>
        <w:rPr>
          <w:rFonts w:hint="default" w:ascii="Times New Roman" w:hAnsi="Times New Roman" w:eastAsia="仿宋" w:cs="仿宋"/>
          <w:kern w:val="2"/>
          <w:sz w:val="28"/>
          <w:szCs w:val="21"/>
          <w:lang w:val="en-US" w:eastAsia="zh-CN" w:bidi="ar"/>
        </w:rPr>
        <w:t>15</w:t>
      </w:r>
      <w:r>
        <w:rPr>
          <w:rFonts w:hint="eastAsia" w:ascii="Times New Roman" w:hAnsi="Times New Roman" w:eastAsia="仿宋" w:cs="仿宋"/>
          <w:kern w:val="2"/>
          <w:sz w:val="28"/>
          <w:szCs w:val="21"/>
          <w:lang w:val="en-US" w:eastAsia="zh-CN" w:bidi="ar"/>
        </w:rPr>
        <w:t>年</w:t>
      </w:r>
      <w:r>
        <w:rPr>
          <w:rFonts w:hint="default" w:ascii="Times New Roman" w:hAnsi="Times New Roman" w:eastAsia="仿宋" w:cs="仿宋"/>
          <w:kern w:val="2"/>
          <w:sz w:val="28"/>
          <w:szCs w:val="21"/>
          <w:lang w:val="en-US" w:eastAsia="zh-CN" w:bidi="ar"/>
        </w:rPr>
        <w:t>0.3829</w:t>
      </w:r>
      <w:r>
        <w:rPr>
          <w:rFonts w:hint="eastAsia" w:ascii="Times New Roman" w:hAnsi="Times New Roman" w:eastAsia="仿宋" w:cs="仿宋"/>
          <w:kern w:val="2"/>
          <w:sz w:val="28"/>
          <w:szCs w:val="21"/>
          <w:lang w:val="en-US" w:eastAsia="zh-CN" w:bidi="ar"/>
        </w:rPr>
        <w:t>元</w:t>
      </w:r>
      <w:r>
        <w:rPr>
          <w:rFonts w:hint="default" w:ascii="Times New Roman" w:hAnsi="Times New Roman" w:eastAsia="仿宋" w:cs="仿宋"/>
          <w:kern w:val="2"/>
          <w:sz w:val="28"/>
          <w:szCs w:val="21"/>
          <w:lang w:val="en-US" w:eastAsia="zh-CN" w:bidi="ar"/>
        </w:rPr>
        <w:t>/kwh</w:t>
      </w:r>
      <w:r>
        <w:rPr>
          <w:rFonts w:hint="eastAsia" w:ascii="Times New Roman" w:hAnsi="Times New Roman" w:eastAsia="仿宋" w:cs="仿宋"/>
          <w:kern w:val="2"/>
          <w:sz w:val="28"/>
          <w:szCs w:val="21"/>
          <w:lang w:val="en-US" w:eastAsia="zh-CN" w:bidi="ar"/>
        </w:rPr>
        <w:t>计算，后</w:t>
      </w:r>
      <w:r>
        <w:rPr>
          <w:rFonts w:hint="default" w:ascii="Times New Roman" w:hAnsi="Times New Roman" w:eastAsia="仿宋" w:cs="仿宋"/>
          <w:kern w:val="2"/>
          <w:sz w:val="28"/>
          <w:szCs w:val="21"/>
          <w:lang w:val="en-US" w:eastAsia="zh-CN" w:bidi="ar"/>
        </w:rPr>
        <w:t>23</w:t>
      </w:r>
      <w:r>
        <w:rPr>
          <w:rFonts w:hint="eastAsia" w:ascii="Times New Roman" w:hAnsi="Times New Roman" w:eastAsia="仿宋" w:cs="仿宋"/>
          <w:kern w:val="2"/>
          <w:sz w:val="28"/>
          <w:szCs w:val="21"/>
          <w:lang w:val="en-US" w:eastAsia="zh-CN" w:bidi="ar"/>
        </w:rPr>
        <w:t>年按照</w:t>
      </w:r>
      <w:r>
        <w:rPr>
          <w:rFonts w:hint="default" w:ascii="Times New Roman" w:hAnsi="Times New Roman" w:eastAsia="仿宋" w:cs="仿宋"/>
          <w:kern w:val="2"/>
          <w:sz w:val="28"/>
          <w:szCs w:val="21"/>
          <w:lang w:val="en-US" w:eastAsia="zh-CN" w:bidi="ar"/>
        </w:rPr>
        <w:t>0.2829</w:t>
      </w:r>
      <w:r>
        <w:rPr>
          <w:rFonts w:hint="eastAsia" w:ascii="Times New Roman" w:hAnsi="Times New Roman" w:eastAsia="仿宋" w:cs="仿宋"/>
          <w:kern w:val="2"/>
          <w:sz w:val="28"/>
          <w:szCs w:val="21"/>
          <w:lang w:val="en-US" w:eastAsia="zh-CN" w:bidi="ar"/>
        </w:rPr>
        <w:t>元</w:t>
      </w:r>
      <w:r>
        <w:rPr>
          <w:rFonts w:hint="default" w:ascii="Times New Roman" w:hAnsi="Times New Roman" w:eastAsia="仿宋" w:cs="仿宋"/>
          <w:kern w:val="2"/>
          <w:sz w:val="28"/>
          <w:szCs w:val="21"/>
          <w:lang w:val="en-US" w:eastAsia="zh-CN" w:bidi="ar"/>
        </w:rPr>
        <w:t>/kwh</w:t>
      </w:r>
      <w:r>
        <w:rPr>
          <w:rFonts w:hint="eastAsia" w:ascii="Times New Roman" w:hAnsi="Times New Roman" w:eastAsia="仿宋" w:cs="仿宋"/>
          <w:kern w:val="2"/>
          <w:sz w:val="28"/>
          <w:szCs w:val="21"/>
          <w:lang w:val="en-US" w:eastAsia="zh-CN" w:bidi="ar"/>
        </w:rPr>
        <w:t>进行测算。因电价政策原因，上网电价发生变化后，生活垃圾处理服务费按照如下公式进行调整：</w:t>
      </w:r>
    </w:p>
    <w:p w14:paraId="06345686">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default" w:ascii="Times New Roman" w:hAnsi="Times New Roman" w:eastAsia="仿宋" w:cs="仿宋"/>
          <w:kern w:val="2"/>
          <w:sz w:val="28"/>
          <w:szCs w:val="21"/>
          <w:lang w:val="en-US" w:eastAsia="zh-CN" w:bidi="ar"/>
        </w:rPr>
        <w:t>W=W1-ΔP/Q</w:t>
      </w:r>
    </w:p>
    <w:p w14:paraId="5D1AB10C">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default" w:ascii="Times New Roman" w:hAnsi="Times New Roman" w:eastAsia="仿宋" w:cs="仿宋"/>
          <w:kern w:val="2"/>
          <w:sz w:val="28"/>
          <w:szCs w:val="21"/>
          <w:lang w:val="en-US" w:eastAsia="zh-CN" w:bidi="ar"/>
        </w:rPr>
        <w:t>W:</w:t>
      </w:r>
      <w:r>
        <w:rPr>
          <w:rFonts w:hint="eastAsia" w:ascii="Times New Roman" w:hAnsi="Times New Roman" w:eastAsia="仿宋" w:cs="仿宋"/>
          <w:kern w:val="2"/>
          <w:sz w:val="28"/>
          <w:szCs w:val="21"/>
          <w:lang w:val="en-US" w:eastAsia="zh-CN" w:bidi="ar"/>
        </w:rPr>
        <w:t>调整后的生活垃圾处理服务费单价（元</w:t>
      </w:r>
      <w:r>
        <w:rPr>
          <w:rFonts w:hint="default" w:ascii="Times New Roman" w:hAnsi="Times New Roman" w:eastAsia="仿宋" w:cs="仿宋"/>
          <w:kern w:val="2"/>
          <w:sz w:val="28"/>
          <w:szCs w:val="21"/>
          <w:lang w:val="en-US" w:eastAsia="zh-CN" w:bidi="ar"/>
        </w:rPr>
        <w:t>/</w:t>
      </w:r>
      <w:r>
        <w:rPr>
          <w:rFonts w:hint="eastAsia" w:ascii="Times New Roman" w:hAnsi="Times New Roman" w:eastAsia="仿宋" w:cs="仿宋"/>
          <w:kern w:val="2"/>
          <w:sz w:val="28"/>
          <w:szCs w:val="21"/>
          <w:lang w:val="en-US" w:eastAsia="zh-CN" w:bidi="ar"/>
        </w:rPr>
        <w:t>吨）；</w:t>
      </w:r>
    </w:p>
    <w:p w14:paraId="06E95B70">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default" w:ascii="Times New Roman" w:hAnsi="Times New Roman" w:eastAsia="仿宋" w:cs="仿宋"/>
          <w:kern w:val="2"/>
          <w:sz w:val="28"/>
          <w:szCs w:val="21"/>
          <w:lang w:val="en-US" w:eastAsia="zh-CN" w:bidi="ar"/>
        </w:rPr>
        <w:t>W1</w:t>
      </w:r>
      <w:r>
        <w:rPr>
          <w:rFonts w:hint="eastAsia" w:ascii="Times New Roman" w:hAnsi="Times New Roman" w:eastAsia="仿宋" w:cs="仿宋"/>
          <w:kern w:val="2"/>
          <w:sz w:val="28"/>
          <w:szCs w:val="21"/>
          <w:lang w:val="en-US" w:eastAsia="zh-CN" w:bidi="ar"/>
        </w:rPr>
        <w:t>：调整前的生活垃圾服务费单价（元</w:t>
      </w:r>
      <w:r>
        <w:rPr>
          <w:rFonts w:hint="default" w:ascii="Times New Roman" w:hAnsi="Times New Roman" w:eastAsia="仿宋" w:cs="仿宋"/>
          <w:kern w:val="2"/>
          <w:sz w:val="28"/>
          <w:szCs w:val="21"/>
          <w:lang w:val="en-US" w:eastAsia="zh-CN" w:bidi="ar"/>
        </w:rPr>
        <w:t>/</w:t>
      </w:r>
      <w:r>
        <w:rPr>
          <w:rFonts w:hint="eastAsia" w:ascii="Times New Roman" w:hAnsi="Times New Roman" w:eastAsia="仿宋" w:cs="仿宋"/>
          <w:kern w:val="2"/>
          <w:sz w:val="28"/>
          <w:szCs w:val="21"/>
          <w:lang w:val="en-US" w:eastAsia="zh-CN" w:bidi="ar"/>
        </w:rPr>
        <w:t>吨）；</w:t>
      </w:r>
    </w:p>
    <w:p w14:paraId="418C3CC9">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default" w:ascii="Times New Roman" w:hAnsi="Times New Roman" w:eastAsia="仿宋" w:cs="仿宋"/>
          <w:kern w:val="2"/>
          <w:sz w:val="28"/>
          <w:szCs w:val="21"/>
          <w:lang w:val="en-US" w:eastAsia="zh-CN" w:bidi="ar"/>
        </w:rPr>
        <w:t>ΔP:</w:t>
      </w:r>
      <w:r>
        <w:rPr>
          <w:rFonts w:hint="eastAsia" w:ascii="Times New Roman" w:hAnsi="Times New Roman" w:eastAsia="仿宋" w:cs="仿宋"/>
          <w:kern w:val="2"/>
          <w:sz w:val="28"/>
          <w:szCs w:val="21"/>
          <w:lang w:val="en-US" w:eastAsia="zh-CN" w:bidi="ar"/>
        </w:rPr>
        <w:t>电价变化后，年售电收入变化值（增加为</w:t>
      </w:r>
      <w:r>
        <w:rPr>
          <w:rFonts w:hint="default" w:ascii="Times New Roman" w:hAnsi="Times New Roman" w:eastAsia="仿宋" w:cs="仿宋"/>
          <w:kern w:val="2"/>
          <w:sz w:val="28"/>
          <w:szCs w:val="21"/>
          <w:lang w:val="en-US" w:eastAsia="zh-CN" w:bidi="ar"/>
        </w:rPr>
        <w:t>+</w:t>
      </w:r>
      <w:r>
        <w:rPr>
          <w:rFonts w:hint="eastAsia" w:ascii="Times New Roman" w:hAnsi="Times New Roman" w:eastAsia="仿宋" w:cs="仿宋"/>
          <w:kern w:val="2"/>
          <w:sz w:val="28"/>
          <w:szCs w:val="21"/>
          <w:lang w:val="en-US" w:eastAsia="zh-CN" w:bidi="ar"/>
        </w:rPr>
        <w:t>，减少为—）（元）；</w:t>
      </w:r>
    </w:p>
    <w:p w14:paraId="34243D3C">
      <w:pPr>
        <w:keepNext w:val="0"/>
        <w:keepLines w:val="0"/>
        <w:widowControl w:val="0"/>
        <w:suppressLineNumbers w:val="0"/>
        <w:spacing w:before="0" w:beforeAutospacing="0" w:after="0" w:afterAutospacing="0" w:line="360" w:lineRule="auto"/>
        <w:ind w:left="0" w:right="0" w:firstLine="560" w:firstLineChars="200"/>
        <w:jc w:val="both"/>
        <w:rPr>
          <w:rFonts w:hint="eastAsia" w:ascii="Times New Roman" w:hAnsi="Times New Roman" w:eastAsia="仿宋" w:cs="仿宋"/>
          <w:kern w:val="2"/>
          <w:sz w:val="28"/>
          <w:szCs w:val="21"/>
          <w:lang w:val="en-US" w:eastAsia="zh-CN" w:bidi="ar"/>
        </w:rPr>
      </w:pPr>
      <w:r>
        <w:rPr>
          <w:rFonts w:hint="default" w:ascii="Times New Roman" w:hAnsi="Times New Roman" w:eastAsia="仿宋" w:cs="仿宋"/>
          <w:kern w:val="2"/>
          <w:sz w:val="28"/>
          <w:szCs w:val="21"/>
          <w:lang w:val="en-US" w:eastAsia="zh-CN" w:bidi="ar"/>
        </w:rPr>
        <w:t>Q:</w:t>
      </w:r>
      <w:r>
        <w:rPr>
          <w:rFonts w:hint="eastAsia" w:ascii="Times New Roman" w:hAnsi="Times New Roman" w:eastAsia="仿宋" w:cs="仿宋"/>
          <w:kern w:val="2"/>
          <w:sz w:val="28"/>
          <w:szCs w:val="21"/>
          <w:lang w:val="en-US" w:eastAsia="zh-CN" w:bidi="ar"/>
        </w:rPr>
        <w:t>年生活垃圾处理量（吨）。</w:t>
      </w:r>
    </w:p>
    <w:p w14:paraId="5FA7B102">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法律政策变更时的调整</w:t>
      </w:r>
    </w:p>
    <w:p w14:paraId="723C1635">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仿宋" w:cs="仿宋"/>
          <w:kern w:val="2"/>
          <w:sz w:val="28"/>
          <w:szCs w:val="21"/>
          <w:lang w:val="en-US" w:eastAsia="zh-CN" w:bidi="ar"/>
        </w:rPr>
      </w:pPr>
      <w:r>
        <w:rPr>
          <w:rFonts w:hint="eastAsia" w:ascii="Times New Roman" w:hAnsi="Times New Roman" w:eastAsia="仿宋" w:cs="仿宋"/>
          <w:kern w:val="2"/>
          <w:sz w:val="28"/>
          <w:szCs w:val="21"/>
          <w:lang w:val="en-US" w:eastAsia="zh-CN" w:bidi="ar"/>
        </w:rPr>
        <w:t>在项目特许期内的任何连续三年期间，一项或多项法律变更，导致</w:t>
      </w:r>
      <w:r>
        <w:rPr>
          <w:rFonts w:hint="eastAsia" w:cs="仿宋"/>
          <w:kern w:val="2"/>
          <w:sz w:val="28"/>
          <w:szCs w:val="21"/>
          <w:lang w:val="en-US" w:eastAsia="zh-CN" w:bidi="ar"/>
        </w:rPr>
        <w:t>社会资本方</w:t>
      </w:r>
      <w:r>
        <w:rPr>
          <w:rFonts w:hint="eastAsia" w:ascii="Times New Roman" w:hAnsi="Times New Roman" w:eastAsia="仿宋" w:cs="仿宋"/>
          <w:kern w:val="2"/>
          <w:sz w:val="28"/>
          <w:szCs w:val="21"/>
          <w:lang w:val="en-US" w:eastAsia="zh-CN" w:bidi="ar"/>
        </w:rPr>
        <w:t>在剩余的项目特许期内对项目的资本投资累计变化（增加或降低）等于或超过人民币叁佰万元（小写：RMB3,000,000.00）；或在项目特许期内任何一年期间，一项或多项法律变更造成乙方经常性支出（包括但不限于运营成本，但税收除外）的累计变化（增加或降低）数额等于或超过人民币伍拾万元（小写：RMB500,000.00），且该种变化没有通过其他途径得到补偿，则双方可以通过调整垃圾处理服务费或其他方式（如减少届时应付的任何费用的形式），以使</w:t>
      </w:r>
      <w:r>
        <w:rPr>
          <w:rFonts w:hint="eastAsia" w:cs="仿宋"/>
          <w:kern w:val="2"/>
          <w:sz w:val="28"/>
          <w:szCs w:val="21"/>
          <w:lang w:val="en-US" w:eastAsia="zh-CN" w:bidi="ar"/>
        </w:rPr>
        <w:t>社会资本</w:t>
      </w:r>
      <w:r>
        <w:rPr>
          <w:rFonts w:hint="eastAsia" w:ascii="Times New Roman" w:hAnsi="Times New Roman" w:eastAsia="仿宋" w:cs="仿宋"/>
          <w:kern w:val="2"/>
          <w:sz w:val="28"/>
          <w:szCs w:val="21"/>
          <w:lang w:val="en-US" w:eastAsia="zh-CN" w:bidi="ar"/>
        </w:rPr>
        <w:t>方保持如没有发生法律变更的情况下的相同经济地位。</w:t>
      </w:r>
    </w:p>
    <w:p w14:paraId="4B768553">
      <w:pPr>
        <w:pStyle w:val="6"/>
        <w:numPr>
          <w:ilvl w:val="3"/>
          <w:numId w:val="64"/>
        </w:numPr>
        <w:spacing w:before="156" w:after="156"/>
        <w:rPr>
          <w:color w:val="000000" w:themeColor="text1"/>
          <w14:textFill>
            <w14:solidFill>
              <w14:schemeClr w14:val="tx1"/>
            </w14:solidFill>
          </w14:textFill>
        </w:rPr>
      </w:pPr>
      <w:r>
        <w:rPr>
          <w:color w:val="000000" w:themeColor="text1"/>
          <w14:textFill>
            <w14:solidFill>
              <w14:schemeClr w14:val="tx1"/>
            </w14:solidFill>
          </w14:textFill>
        </w:rPr>
        <w:t>项目公司股权变更</w:t>
      </w:r>
      <w:bookmarkEnd w:id="383"/>
    </w:p>
    <w:p w14:paraId="1CE59B9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项目公司注册资本的增加、减少、</w:t>
      </w:r>
      <w:r>
        <w:rPr>
          <w:rFonts w:hint="eastAsia"/>
          <w:color w:val="000000" w:themeColor="text1"/>
          <w:lang w:val="en-US" w:eastAsia="zh-CN"/>
          <w14:textFill>
            <w14:solidFill>
              <w14:schemeClr w14:val="tx1"/>
            </w14:solidFill>
          </w14:textFill>
        </w:rPr>
        <w:t>股权锁定期内的</w:t>
      </w:r>
      <w:r>
        <w:rPr>
          <w:color w:val="000000" w:themeColor="text1"/>
          <w14:textFill>
            <w14:solidFill>
              <w14:schemeClr w14:val="tx1"/>
            </w14:solidFill>
          </w14:textFill>
        </w:rPr>
        <w:t>股东变更</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股权</w:t>
      </w:r>
      <w:r>
        <w:rPr>
          <w:rFonts w:hint="eastAsia"/>
          <w:color w:val="000000" w:themeColor="text1"/>
          <w14:textFill>
            <w14:solidFill>
              <w14:schemeClr w14:val="tx1"/>
            </w14:solidFill>
          </w14:textFill>
        </w:rPr>
        <w:t>变更、股权</w:t>
      </w:r>
      <w:r>
        <w:rPr>
          <w:color w:val="000000" w:themeColor="text1"/>
          <w14:textFill>
            <w14:solidFill>
              <w14:schemeClr w14:val="tx1"/>
            </w14:solidFill>
          </w14:textFill>
        </w:rPr>
        <w:t>质押，项目公司名称、地址、收费权（应收账款）转让或质押、本项目资产、设施设备的转让、抵押等，应按国家有关规定执行，并需取得项目实施机构书面同意后方可实施，实施后相关情况应及时向项目实施机构报备。</w:t>
      </w:r>
    </w:p>
    <w:p w14:paraId="2F8ED2E9">
      <w:pPr>
        <w:pStyle w:val="6"/>
        <w:numPr>
          <w:ilvl w:val="3"/>
          <w:numId w:val="64"/>
        </w:numPr>
        <w:spacing w:before="156" w:after="156"/>
        <w:rPr>
          <w:color w:val="000000" w:themeColor="text1"/>
          <w14:textFill>
            <w14:solidFill>
              <w14:schemeClr w14:val="tx1"/>
            </w14:solidFill>
          </w14:textFill>
        </w:rPr>
      </w:pPr>
      <w:bookmarkStart w:id="384" w:name="_Toc20482"/>
      <w:r>
        <w:rPr>
          <w:rFonts w:hint="eastAsia"/>
          <w:color w:val="000000" w:themeColor="text1"/>
          <w14:textFill>
            <w14:solidFill>
              <w14:schemeClr w14:val="tx1"/>
            </w14:solidFill>
          </w14:textFill>
        </w:rPr>
        <w:t>项目合作边界</w:t>
      </w:r>
      <w:bookmarkEnd w:id="384"/>
    </w:p>
    <w:p w14:paraId="153E136F">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权利义务</w:t>
      </w:r>
    </w:p>
    <w:p w14:paraId="097C3430">
      <w:pPr>
        <w:pStyle w:val="8"/>
        <w:rPr>
          <w:color w:val="000000" w:themeColor="text1"/>
          <w14:textFill>
            <w14:solidFill>
              <w14:schemeClr w14:val="tx1"/>
            </w14:solidFill>
          </w14:textFill>
        </w:rPr>
      </w:pPr>
      <w:bookmarkStart w:id="385" w:name="_Toc41055914"/>
      <w:bookmarkStart w:id="386" w:name="_Toc41559645"/>
      <w:bookmarkStart w:id="387" w:name="_Toc43278610"/>
      <w:bookmarkStart w:id="388" w:name="_Toc43228538"/>
      <w:bookmarkStart w:id="389" w:name="_Toc41636199"/>
      <w:bookmarkStart w:id="390" w:name="_Toc41591167"/>
      <w:r>
        <w:rPr>
          <w:rFonts w:hint="eastAsia"/>
          <w:color w:val="000000" w:themeColor="text1"/>
          <w14:textFill>
            <w14:solidFill>
              <w14:schemeClr w14:val="tx1"/>
            </w14:solidFill>
          </w14:textFill>
        </w:rPr>
        <w:t>政府方</w:t>
      </w:r>
      <w:r>
        <w:rPr>
          <w:color w:val="000000" w:themeColor="text1"/>
          <w14:textFill>
            <w14:solidFill>
              <w14:schemeClr w14:val="tx1"/>
            </w14:solidFill>
          </w14:textFill>
        </w:rPr>
        <w:t>的一般权利</w:t>
      </w:r>
      <w:bookmarkEnd w:id="385"/>
      <w:bookmarkEnd w:id="386"/>
      <w:bookmarkEnd w:id="387"/>
      <w:bookmarkEnd w:id="388"/>
      <w:bookmarkEnd w:id="389"/>
      <w:bookmarkEnd w:id="390"/>
    </w:p>
    <w:p w14:paraId="7CEAC503">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按照国家及行业相关标准要求规范本项目的建设标准（包括设计、施工和验收标准）；</w:t>
      </w:r>
    </w:p>
    <w:p w14:paraId="55951167">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建设期间，根据需要或法律法规变更情况对已确定的工程建设标准进行修改或变更，有权对特许经营协议中约定的工程进度、范围和标准进行变更并根据特许经营协议约定给予项目公司相应的补偿；</w:t>
      </w:r>
    </w:p>
    <w:p w14:paraId="52C98C6F">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建设期间，有权对设计及工程质量进行监控；也可以聘请第三方中介机构对项目进行</w:t>
      </w:r>
      <w:r>
        <w:rPr>
          <w:rFonts w:hint="eastAsia"/>
          <w:color w:val="000000" w:themeColor="text1"/>
          <w:lang w:val="en-US" w:eastAsia="zh-CN"/>
          <w14:textFill>
            <w14:solidFill>
              <w14:schemeClr w14:val="tx1"/>
            </w14:solidFill>
          </w14:textFill>
        </w:rPr>
        <w:t>跟踪</w:t>
      </w:r>
      <w:r>
        <w:rPr>
          <w:rFonts w:hint="eastAsia"/>
          <w:color w:val="000000" w:themeColor="text1"/>
          <w14:textFill>
            <w14:solidFill>
              <w14:schemeClr w14:val="tx1"/>
            </w14:solidFill>
          </w14:textFill>
        </w:rPr>
        <w:t>审计或者承担其他评估工作；</w:t>
      </w:r>
    </w:p>
    <w:p w14:paraId="191D6D5F">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期间，有对项目公司的建设施工情况进行监督检查的权利，包括但不限于在建设期间开展质量监督检查、安全检查和专项审计调查等，同时要求项目公司及时开展对项目的跟踪审计，检查范围主要包括对项目公司的注册资本的到位情况、项目进度情况、项目质量情况、项目实施与特许经营协议执行情况等方面；</w:t>
      </w:r>
    </w:p>
    <w:p w14:paraId="6AB66CC4">
      <w:pPr>
        <w:numPr>
          <w:ilvl w:val="0"/>
          <w:numId w:val="68"/>
        </w:numPr>
        <w:ind w:left="0"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在试运行期间，</w:t>
      </w:r>
      <w:r>
        <w:rPr>
          <w:rFonts w:hint="eastAsia"/>
          <w:color w:val="000000" w:themeColor="text1"/>
          <w14:textFill>
            <w14:solidFill>
              <w14:schemeClr w14:val="tx1"/>
            </w14:solidFill>
          </w14:textFill>
        </w:rPr>
        <w:t>对试运行过程进行监管，确保项目符合环保和安全标准‌</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在发现试运行中出现严重问题或不符合协议要求时，有权要求项目方进行整改或暂停试运行</w:t>
      </w:r>
    </w:p>
    <w:p w14:paraId="18F99055">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根据相关法律法规制定运营期的运营维护标准，在特许经营协议中予以明确；</w:t>
      </w:r>
    </w:p>
    <w:p w14:paraId="3922D6E9">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运营期间，根据需要或法律法规变更对运营维护标准进行修改或变更；</w:t>
      </w:r>
    </w:p>
    <w:p w14:paraId="089B6DCF">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运营期间，有对项目公司的运营情况进行监督检查的权利，包括但不限于在运营期间开展运营质量检查、安全检查和专项审计调查等，同时要求项目公司及时开展对项目的跟踪审计。</w:t>
      </w:r>
    </w:p>
    <w:p w14:paraId="4DD0446A">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运营期间，根据相关法律、法规、地方政策文件、行业规则和运营维护惯例更新考核标准，若考核标准提高则根据特许经营协议给予项目公司相应补偿；</w:t>
      </w:r>
    </w:p>
    <w:p w14:paraId="4D15300F">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特许经营期间，按照特许经营协议约定的绩效考核标准对项目公司进行绩效考核，要求项目公司根据考核结果进行整改，并根据绩效考核结果核算应支付的垃圾处理服务费；</w:t>
      </w:r>
    </w:p>
    <w:p w14:paraId="40E18817">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按特许经营协议约定兑取履约保函或收取违约金；</w:t>
      </w:r>
    </w:p>
    <w:p w14:paraId="272EAFA0">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对项目公司投资、融资、勘察设计、建设、运营、维护及移交工作进行全程实时依法监管的权利；若发现与特许经营协议存在不相符合的，有权责成项目公司限期予以改正；</w:t>
      </w:r>
    </w:p>
    <w:p w14:paraId="45145BBA">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对项目公司的投资、融资、勘察设计、建设、运营、维护状况等进行定期评估，并有权定期将评估结果向社会公示，接受公众监督；</w:t>
      </w:r>
    </w:p>
    <w:p w14:paraId="390FB6CD">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运营期间，根据相关法律法规对项目进行中期评估；</w:t>
      </w:r>
    </w:p>
    <w:p w14:paraId="2AE4B436">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对项目公司是否遵守特许经营协议的监督检查权及对建设、运营维护的介入权；</w:t>
      </w:r>
    </w:p>
    <w:p w14:paraId="22E23803">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出于公共利益的考虑，有权提前收回</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，提前终止特许经营协议，并根据特许经营协议的约定给予项目公司</w:t>
      </w:r>
      <w:r>
        <w:rPr>
          <w:rFonts w:hint="eastAsia"/>
          <w:color w:val="000000" w:themeColor="text1"/>
          <w:lang w:val="en-US" w:eastAsia="zh-CN"/>
          <w14:textFill>
            <w14:solidFill>
              <w14:schemeClr w14:val="tx1"/>
            </w14:solidFill>
          </w14:textFill>
        </w:rPr>
        <w:t>公平合理的</w:t>
      </w:r>
      <w:r>
        <w:rPr>
          <w:rFonts w:hint="eastAsia"/>
          <w:color w:val="000000" w:themeColor="text1"/>
          <w14:textFill>
            <w14:solidFill>
              <w14:schemeClr w14:val="tx1"/>
            </w14:solidFill>
          </w14:textFill>
        </w:rPr>
        <w:t>补偿；</w:t>
      </w:r>
    </w:p>
    <w:p w14:paraId="5B8B8E00">
      <w:pPr>
        <w:numPr>
          <w:ilvl w:val="0"/>
          <w:numId w:val="6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有权享有适用法律、法规规定及特许经营协议约定的其他权利。</w:t>
      </w:r>
    </w:p>
    <w:p w14:paraId="13D377B6">
      <w:pPr>
        <w:pStyle w:val="8"/>
        <w:rPr>
          <w:color w:val="000000" w:themeColor="text1"/>
          <w14:textFill>
            <w14:solidFill>
              <w14:schemeClr w14:val="tx1"/>
            </w14:solidFill>
          </w14:textFill>
        </w:rPr>
      </w:pPr>
      <w:bookmarkStart w:id="391" w:name="_Toc41055915"/>
      <w:bookmarkStart w:id="392" w:name="_Toc41559646"/>
      <w:bookmarkStart w:id="393" w:name="_Toc43228539"/>
      <w:bookmarkStart w:id="394" w:name="_Toc43278611"/>
      <w:bookmarkStart w:id="395" w:name="_Toc41636200"/>
      <w:bookmarkStart w:id="396" w:name="_Toc41591168"/>
      <w:r>
        <w:rPr>
          <w:rFonts w:hint="eastAsia"/>
          <w:color w:val="000000" w:themeColor="text1"/>
          <w14:textFill>
            <w14:solidFill>
              <w14:schemeClr w14:val="tx1"/>
            </w14:solidFill>
          </w14:textFill>
        </w:rPr>
        <w:t>政府方</w:t>
      </w:r>
      <w:r>
        <w:rPr>
          <w:color w:val="000000" w:themeColor="text1"/>
          <w14:textFill>
            <w14:solidFill>
              <w14:schemeClr w14:val="tx1"/>
            </w14:solidFill>
          </w14:textFill>
        </w:rPr>
        <w:t>的一般义务</w:t>
      </w:r>
      <w:bookmarkEnd w:id="391"/>
      <w:bookmarkEnd w:id="392"/>
      <w:bookmarkEnd w:id="393"/>
      <w:bookmarkEnd w:id="394"/>
      <w:bookmarkEnd w:id="395"/>
      <w:bookmarkEnd w:id="396"/>
    </w:p>
    <w:p w14:paraId="5FB38633">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应保持项目公司的</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在整个特许经营期间始终有效，维护</w:t>
      </w:r>
      <w:r>
        <w:rPr>
          <w:rFonts w:hint="eastAsia"/>
          <w:color w:val="000000" w:themeColor="text1"/>
          <w:lang w:val="en-US" w:eastAsia="zh-CN"/>
          <w14:textFill>
            <w14:solidFill>
              <w14:schemeClr w14:val="tx1"/>
            </w14:solidFill>
          </w14:textFill>
        </w:rPr>
        <w:t>相关权利</w:t>
      </w:r>
      <w:r>
        <w:rPr>
          <w:rFonts w:hint="eastAsia"/>
          <w:color w:val="000000" w:themeColor="text1"/>
          <w14:textFill>
            <w14:solidFill>
              <w14:schemeClr w14:val="tx1"/>
            </w14:solidFill>
          </w14:textFill>
        </w:rPr>
        <w:t>的完整性和独占性，在特许经营期间不以任何方式将</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授予第三方或终止特许经营</w:t>
      </w:r>
      <w:r>
        <w:rPr>
          <w:rFonts w:hint="eastAsia"/>
          <w:color w:val="000000" w:themeColor="text1"/>
          <w:lang w:val="en-US" w:eastAsia="zh-CN"/>
          <w14:textFill>
            <w14:solidFill>
              <w14:schemeClr w14:val="tx1"/>
            </w14:solidFill>
          </w14:textFill>
        </w:rPr>
        <w:t>模式</w:t>
      </w:r>
      <w:r>
        <w:rPr>
          <w:rFonts w:hint="eastAsia"/>
          <w:color w:val="000000" w:themeColor="text1"/>
          <w14:textFill>
            <w14:solidFill>
              <w14:schemeClr w14:val="tx1"/>
            </w14:solidFill>
          </w14:textFill>
        </w:rPr>
        <w:t>，或者以任何方式减少特许经营的内容或妨碍特许经营的行使；</w:t>
      </w:r>
    </w:p>
    <w:p w14:paraId="05304818">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在项目公司提出合理的申请并提交必要材料的前提下，有义务依法协助项目公司从有关政府部门获得、保持和续延所需的与项目有关的一切批准；</w:t>
      </w:r>
    </w:p>
    <w:p w14:paraId="284A73F9">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协助项目公司取得可适用于本项目的各项减、免税和优惠政策；</w:t>
      </w:r>
    </w:p>
    <w:p w14:paraId="4B4FD439">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建设期间，维护本项目周边环境的安全、稳定，积极配合项目公司协调解决与周边居民及单位可能发生的纠纷；</w:t>
      </w:r>
    </w:p>
    <w:p w14:paraId="2DE6BE9C">
      <w:pPr>
        <w:numPr>
          <w:ilvl w:val="0"/>
          <w:numId w:val="69"/>
        </w:numPr>
        <w:ind w:left="0" w:firstLine="560" w:firstLineChars="200"/>
      </w:pPr>
      <w:r>
        <w:rPr>
          <w:rFonts w:hint="eastAsia"/>
          <w:color w:val="000000" w:themeColor="text1"/>
          <w:lang w:val="en-US" w:eastAsia="zh-CN"/>
          <w14:textFill>
            <w14:solidFill>
              <w14:schemeClr w14:val="tx1"/>
            </w14:solidFill>
          </w14:textFill>
        </w:rPr>
        <w:t>项目试运行期间，</w:t>
      </w:r>
      <w:r>
        <w:rPr>
          <w:rFonts w:hint="eastAsia"/>
          <w:color w:val="000000" w:themeColor="text1"/>
          <w14:textFill>
            <w14:solidFill>
              <w14:schemeClr w14:val="tx1"/>
            </w14:solidFill>
          </w14:textFill>
        </w:rPr>
        <w:t>提供必要的支持和协助，确保试运行的顺利进行‌</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按照协议约定，及时支付试运行期间的相关费用</w:t>
      </w:r>
      <w:r>
        <w:rPr>
          <w:rFonts w:hint="eastAsia"/>
          <w:color w:val="000000" w:themeColor="text1"/>
          <w:lang w:eastAsia="zh-CN"/>
          <w14:textFill>
            <w14:solidFill>
              <w14:schemeClr w14:val="tx1"/>
            </w14:solidFill>
          </w14:textFill>
        </w:rPr>
        <w:t>。</w:t>
      </w:r>
      <w:r>
        <w:rPr>
          <w:rFonts w:hint="default" w:ascii="Arial" w:hAnsi="Arial" w:eastAsia="Arial" w:cs="Arial"/>
          <w:i w:val="0"/>
          <w:iCs w:val="0"/>
          <w:caps w:val="0"/>
          <w:color w:val="333333"/>
          <w:spacing w:val="0"/>
          <w:sz w:val="16"/>
          <w:szCs w:val="16"/>
          <w:shd w:val="clear" w:fill="FFFFFF"/>
        </w:rPr>
        <w:t>‌</w:t>
      </w:r>
    </w:p>
    <w:p w14:paraId="508D7475">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为满足项目融资的需要，政府方应配合完成其职责范围内的项目前期手续或要件；</w:t>
      </w:r>
    </w:p>
    <w:p w14:paraId="5DB99FF8">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协助项目公司将施工图预算、竣工结算依据相关规定报相关主管部门或第三方机构进行评审；</w:t>
      </w:r>
    </w:p>
    <w:p w14:paraId="353AC36A">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向项目公司提供符合约定要求的生活垃圾，并在其负责运营管理的垃圾填埋场接收稳定固化后的飞灰；</w:t>
      </w:r>
    </w:p>
    <w:p w14:paraId="2A677693">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在项目进入运营期后，及时开展绩效考核工作，并及时根据绩效考核结果支付垃圾处理服务费；</w:t>
      </w:r>
    </w:p>
    <w:p w14:paraId="5E3CC0AA">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因政府方要求、法律法规变更或不可抗力等导致项目关键节点工期的延误，工期根据特许经营协议的约定予以顺延；</w:t>
      </w:r>
    </w:p>
    <w:p w14:paraId="5BB81CBD">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因政府方要求、市级政府可控的法律法规变更等导致项目运营维护成本增加时，根据特许经营协议约定对项目公司进行一般补偿；</w:t>
      </w:r>
    </w:p>
    <w:p w14:paraId="4133567A">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因严重违约、法律法规变更或不可抗力等导致项目提前终止，根据特许经营协议约定对项目公司进行提前终止补偿；</w:t>
      </w:r>
    </w:p>
    <w:p w14:paraId="69895BA9">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协助项目公司完成项目范围内的秩序维护、道路封闭等工作；</w:t>
      </w:r>
    </w:p>
    <w:p w14:paraId="558E5E53">
      <w:pPr>
        <w:numPr>
          <w:ilvl w:val="0"/>
          <w:numId w:val="6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应履行适用法律法规的规定及特许经营协议约定的其他义务。</w:t>
      </w:r>
    </w:p>
    <w:p w14:paraId="51C580A0">
      <w:pPr>
        <w:pStyle w:val="8"/>
        <w:rPr>
          <w:color w:val="000000" w:themeColor="text1"/>
          <w14:textFill>
            <w14:solidFill>
              <w14:schemeClr w14:val="tx1"/>
            </w14:solidFill>
          </w14:textFill>
        </w:rPr>
      </w:pPr>
      <w:bookmarkStart w:id="397" w:name="_Toc41636202"/>
      <w:bookmarkStart w:id="398" w:name="_Toc41559648"/>
      <w:bookmarkStart w:id="399" w:name="_Toc43228541"/>
      <w:bookmarkStart w:id="400" w:name="_Toc43278613"/>
      <w:bookmarkStart w:id="401" w:name="_Toc41055917"/>
      <w:bookmarkStart w:id="402" w:name="_Toc41591170"/>
      <w:r>
        <w:rPr>
          <w:rFonts w:hint="eastAsia"/>
          <w:color w:val="000000" w:themeColor="text1"/>
          <w14:textFill>
            <w14:solidFill>
              <w14:schemeClr w14:val="tx1"/>
            </w14:solidFill>
          </w14:textFill>
        </w:rPr>
        <w:t>项目公司的一般权利</w:t>
      </w:r>
      <w:bookmarkEnd w:id="397"/>
      <w:bookmarkEnd w:id="398"/>
      <w:bookmarkEnd w:id="399"/>
      <w:bookmarkEnd w:id="400"/>
      <w:bookmarkEnd w:id="401"/>
      <w:bookmarkEnd w:id="402"/>
    </w:p>
    <w:p w14:paraId="20E4583D">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按照适用法律法规的规定及特许经营协议的约定，获得本项目的</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，享有投资、融资、勘察设计、建设、运营和维护本项目的权利；</w:t>
      </w:r>
    </w:p>
    <w:p w14:paraId="7319D507">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按照适用法律法规的规定及特许经营协议的约定，获得售电收入，并根据绩效考核结果，</w:t>
      </w:r>
      <w:bookmarkStart w:id="403" w:name="_Hlk84684210"/>
      <w:r>
        <w:rPr>
          <w:rFonts w:hint="eastAsia"/>
          <w:color w:val="000000" w:themeColor="text1"/>
          <w14:textFill>
            <w14:solidFill>
              <w14:schemeClr w14:val="tx1"/>
            </w14:solidFill>
          </w14:textFill>
        </w:rPr>
        <w:t>获得政府方支付的垃圾处理</w:t>
      </w:r>
      <w:r>
        <w:rPr>
          <w:rFonts w:hint="eastAsia"/>
          <w:color w:val="000000" w:themeColor="text1"/>
          <w:lang w:val="en-US" w:eastAsia="zh-CN"/>
          <w14:textFill>
            <w14:solidFill>
              <w14:schemeClr w14:val="tx1"/>
            </w14:solidFill>
          </w14:textFill>
        </w:rPr>
        <w:t>运行补贴</w:t>
      </w:r>
      <w:r>
        <w:rPr>
          <w:rFonts w:hint="eastAsia"/>
          <w:color w:val="000000" w:themeColor="text1"/>
          <w14:textFill>
            <w14:solidFill>
              <w14:schemeClr w14:val="tx1"/>
            </w14:solidFill>
          </w14:textFill>
        </w:rPr>
        <w:t>的权利</w:t>
      </w:r>
      <w:bookmarkEnd w:id="403"/>
      <w:r>
        <w:rPr>
          <w:rFonts w:hint="eastAsia"/>
          <w:color w:val="000000" w:themeColor="text1"/>
          <w14:textFill>
            <w14:solidFill>
              <w14:schemeClr w14:val="tx1"/>
            </w14:solidFill>
          </w14:textFill>
        </w:rPr>
        <w:t>；</w:t>
      </w:r>
    </w:p>
    <w:p w14:paraId="410E6893">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在合理合法范围内，有权向相关部门申请获得项目相关批准和优惠政策；</w:t>
      </w:r>
    </w:p>
    <w:p w14:paraId="60CEB321">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按照适用法律法规的规定及特许经营协议的约定，确定承包商、分包商、设备材料供应商等项目参建单位；</w:t>
      </w:r>
    </w:p>
    <w:p w14:paraId="405B926C">
      <w:pPr>
        <w:numPr>
          <w:ilvl w:val="0"/>
          <w:numId w:val="70"/>
        </w:numPr>
        <w:ind w:left="0" w:firstLine="560" w:firstLineChars="200"/>
      </w:pPr>
      <w:r>
        <w:rPr>
          <w:rFonts w:hint="eastAsia"/>
          <w:color w:val="000000" w:themeColor="text1"/>
          <w:lang w:val="en-US" w:eastAsia="zh-CN"/>
          <w14:textFill>
            <w14:solidFill>
              <w14:schemeClr w14:val="tx1"/>
            </w14:solidFill>
          </w14:textFill>
        </w:rPr>
        <w:t>项目试运行期间，</w:t>
      </w:r>
      <w:r>
        <w:rPr>
          <w:rFonts w:hint="eastAsia"/>
          <w:color w:val="000000" w:themeColor="text1"/>
          <w14:textFill>
            <w14:solidFill>
              <w14:schemeClr w14:val="tx1"/>
            </w14:solidFill>
          </w14:textFill>
        </w:rPr>
        <w:t>按照协议约定，进行生活垃圾焚烧发电项目的试运行‌</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对项目设施进行必要的调试和优化，以确保其正常运行</w:t>
      </w:r>
      <w:r>
        <w:rPr>
          <w:rFonts w:hint="default" w:ascii="Arial" w:hAnsi="Arial" w:eastAsia="Arial" w:cs="Arial"/>
          <w:i w:val="0"/>
          <w:iCs w:val="0"/>
          <w:caps w:val="0"/>
          <w:color w:val="333333"/>
          <w:spacing w:val="0"/>
          <w:sz w:val="16"/>
          <w:szCs w:val="16"/>
          <w:shd w:val="clear" w:fill="FFFFFF"/>
        </w:rPr>
        <w:t>‌</w:t>
      </w:r>
    </w:p>
    <w:p w14:paraId="74BAF01F">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因政府方要求、法律法规变更或不可抗力等</w:t>
      </w:r>
      <w:r>
        <w:rPr>
          <w:rFonts w:hint="eastAsia"/>
          <w:color w:val="000000" w:themeColor="text1"/>
          <w:lang w:val="en-US" w:eastAsia="zh-CN"/>
          <w14:textFill>
            <w14:solidFill>
              <w14:schemeClr w14:val="tx1"/>
            </w14:solidFill>
          </w14:textFill>
        </w:rPr>
        <w:t>非项目公司原因</w:t>
      </w:r>
      <w:r>
        <w:rPr>
          <w:rFonts w:hint="eastAsia"/>
          <w:color w:val="000000" w:themeColor="text1"/>
          <w14:textFill>
            <w14:solidFill>
              <w14:schemeClr w14:val="tx1"/>
            </w14:solidFill>
          </w14:textFill>
        </w:rPr>
        <w:t>导致项目关键节点工期的延误，根据特许经营协议约定获得工期顺延；</w:t>
      </w:r>
    </w:p>
    <w:p w14:paraId="429ACE1F">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因政府方要求、市级政府可控的法律法规变更等导致项目公司运营成本增加时，根据特许经营协议约定获得一般补偿；</w:t>
      </w:r>
    </w:p>
    <w:p w14:paraId="47E254A7">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本项目提前终止时根据特许经营协议的约定获得提前终止补偿；</w:t>
      </w:r>
    </w:p>
    <w:p w14:paraId="50D658E4">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特许经营期限届满后，若政府方继续采用特许经营模式选择运营者，在合作良好且届时法律许可的情况下，项目公司享有在同等条件下的优先权；</w:t>
      </w:r>
    </w:p>
    <w:p w14:paraId="4A1D14F2">
      <w:pPr>
        <w:numPr>
          <w:ilvl w:val="0"/>
          <w:numId w:val="70"/>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项目公司有权享有适用法律法规规定及特许经营协议约定的其他权利。</w:t>
      </w:r>
    </w:p>
    <w:p w14:paraId="58B953E4">
      <w:pPr>
        <w:pStyle w:val="8"/>
        <w:rPr>
          <w:color w:val="000000" w:themeColor="text1"/>
          <w14:textFill>
            <w14:solidFill>
              <w14:schemeClr w14:val="tx1"/>
            </w14:solidFill>
          </w14:textFill>
        </w:rPr>
      </w:pPr>
      <w:bookmarkStart w:id="404" w:name="_Toc41636203"/>
      <w:bookmarkStart w:id="405" w:name="_Toc43228542"/>
      <w:bookmarkStart w:id="406" w:name="_Toc41559649"/>
      <w:bookmarkStart w:id="407" w:name="_Toc41055918"/>
      <w:bookmarkStart w:id="408" w:name="_Toc43278614"/>
      <w:bookmarkStart w:id="409" w:name="_Toc41591171"/>
      <w:r>
        <w:rPr>
          <w:rFonts w:hint="eastAsia"/>
          <w:color w:val="000000" w:themeColor="text1"/>
          <w14:textFill>
            <w14:solidFill>
              <w14:schemeClr w14:val="tx1"/>
            </w14:solidFill>
          </w14:textFill>
        </w:rPr>
        <w:t>项目公司的一般义务</w:t>
      </w:r>
      <w:bookmarkEnd w:id="404"/>
      <w:bookmarkEnd w:id="405"/>
      <w:bookmarkEnd w:id="406"/>
      <w:bookmarkEnd w:id="407"/>
      <w:bookmarkEnd w:id="408"/>
      <w:bookmarkEnd w:id="409"/>
    </w:p>
    <w:p w14:paraId="58D432B6">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负责筹措本项目建设、运营维护所需的资金，进行所有必要的融资安排并按时完成投资及建设，按特许经营协议的约定接受政府方对融资情况、资金到位及使用情况的监督；</w:t>
      </w:r>
    </w:p>
    <w:p w14:paraId="5FAA44A2">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依法申请工程建设需要的批准，并满足保持相关批准所要求的条件并积极保持前述批准，并支付所需的费用；</w:t>
      </w:r>
    </w:p>
    <w:p w14:paraId="2217F6DC">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执行国家、行业和经批复的设计文件所规定的相关建设标准，以及因政府方要求或法律法规变更导致的建设标准的变更</w:t>
      </w:r>
      <w:bookmarkStart w:id="410" w:name="_Hlk84684430"/>
      <w:r>
        <w:rPr>
          <w:rFonts w:hint="eastAsia"/>
          <w:color w:val="000000" w:themeColor="text1"/>
          <w14:textFill>
            <w14:solidFill>
              <w14:schemeClr w14:val="tx1"/>
            </w14:solidFill>
          </w14:textFill>
        </w:rPr>
        <w:t>，并获得相应的补偿</w:t>
      </w:r>
      <w:bookmarkEnd w:id="410"/>
      <w:r>
        <w:rPr>
          <w:rFonts w:hint="eastAsia"/>
          <w:color w:val="000000" w:themeColor="text1"/>
          <w14:textFill>
            <w14:solidFill>
              <w14:schemeClr w14:val="tx1"/>
            </w14:solidFill>
          </w14:textFill>
        </w:rPr>
        <w:t>；</w:t>
      </w:r>
    </w:p>
    <w:p w14:paraId="0C662101">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按特许经营协议的约定提交投标保证金、履约保函或违约金；</w:t>
      </w:r>
    </w:p>
    <w:p w14:paraId="450CD6FD">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按特许经营协议的约定购买建设期保险及运营期保险；</w:t>
      </w:r>
    </w:p>
    <w:p w14:paraId="18A08785">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项目公司应按照特许经营协议约定的关键节点工期、进度计划和建设标准，在保证工程安全、质量、工期等前提下，完成本项目建设，承担建设相关的一切费用、责任和风险；</w:t>
      </w:r>
    </w:p>
    <w:p w14:paraId="617BCA76">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及时组织竣工验收，保证项目按期开始运营，并及时完成项目竣工结算；</w:t>
      </w:r>
    </w:p>
    <w:p w14:paraId="65130634">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将施工图预算、竣工结算依据相关规定报相关主管部门或第三方机构进行评审；</w:t>
      </w:r>
    </w:p>
    <w:p w14:paraId="0DD90D0A">
      <w:pPr>
        <w:numPr>
          <w:ilvl w:val="0"/>
          <w:numId w:val="71"/>
        </w:numPr>
        <w:ind w:left="0"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试运行期间，</w:t>
      </w:r>
      <w:r>
        <w:rPr>
          <w:rFonts w:hint="eastAsia"/>
          <w:color w:val="000000" w:themeColor="text1"/>
          <w14:textFill>
            <w14:solidFill>
              <w14:schemeClr w14:val="tx1"/>
            </w14:solidFill>
          </w14:textFill>
        </w:rPr>
        <w:t>遵守所有适用的环保和安全法规，确保试运行过程不对环境造成污染‌</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接受政府方的监管，及时报告试运行中的问题和进展‌</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按照协议约定的时间和标准，完成试运行阶段的任务和目标</w:t>
      </w:r>
      <w:r>
        <w:rPr>
          <w:rFonts w:hint="eastAsia"/>
          <w:color w:val="000000" w:themeColor="text1"/>
          <w:lang w:eastAsia="zh-CN"/>
          <w14:textFill>
            <w14:solidFill>
              <w14:schemeClr w14:val="tx1"/>
            </w14:solidFill>
          </w14:textFill>
        </w:rPr>
        <w:t>。</w:t>
      </w:r>
    </w:p>
    <w:p w14:paraId="25E1E3F7">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运营期间，项目公司应按适用法律法规规定和特许经营协议约定的标准管理、运营和维护项目设施，自行承担运营相关费用、责任和风险，不得擅自决定中断项目设施的管理、运营和维护或解散、歇业；</w:t>
      </w:r>
    </w:p>
    <w:p w14:paraId="65F343DC">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接收政府方提供的生活垃圾并按要求及时进行处理，各项污染物处理排放应达到适用法律法规规定、本项目环评批复要求及特许经营协议约定的处理标准；</w:t>
      </w:r>
    </w:p>
    <w:p w14:paraId="407F338D">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执行因政府要求或法律法规变更导致的运营标准的变更；</w:t>
      </w:r>
    </w:p>
    <w:p w14:paraId="6AE97FE3">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制定安全生产管理制度，制定应急措施和应急预案，保证本项目的安全运营；</w:t>
      </w:r>
    </w:p>
    <w:p w14:paraId="1ADC153D">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根据适用法律法规的规定以及特许经营协议等签署文件的约定，结合项目公司的具体情况制定、建立财务会计制度及内控制度等，并报政府方备案；</w:t>
      </w:r>
    </w:p>
    <w:p w14:paraId="08277CB0">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将中长期发展规划、年度运营计划、年度运营报告、董事会决议、经审计的年度财务报告及时、完整地报送政府方备案。将重大事项提前报告政府方批准；</w:t>
      </w:r>
    </w:p>
    <w:p w14:paraId="6DE70FE7">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接受并积极配合政府方及政府相关职能部门的监督、检查等活动，应为政府方及政府相关部门履行上述监督检查权利提供相应的工作条件，并提供相关资料。并依据适用法律法规的规定和特许经营协议的约定接受社会公众的监督；</w:t>
      </w:r>
    </w:p>
    <w:p w14:paraId="5459F1F3">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若在特许经营期间，项目公司违约，需根据特许经营协议约定接受政府方兑取履约保函或向政府方新缴纳约定的违约金并按规定改正；</w:t>
      </w:r>
    </w:p>
    <w:p w14:paraId="19A3D9D0">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特许经营期限届满后，按规定将项目设施完好、无偿、不设任何权利负担的移交给包头市人民政府或包头市人民政府指定机构，即保证项目设施处于良好可使用状态，且全部项目设施上不设任何权利负担或产权瑕疵，亦不得存在任何种类和性质的索赔权；</w:t>
      </w:r>
    </w:p>
    <w:p w14:paraId="3DE7AE92">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项目公司应当对项目建设和运营中的有关资料进行收集、整理和妥善保管；</w:t>
      </w:r>
    </w:p>
    <w:p w14:paraId="7C20DEBE">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接受政府方依照适用法律法规和特许经营协议进行的介入和其他管制措施；</w:t>
      </w:r>
    </w:p>
    <w:p w14:paraId="140E18B6">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遵守有关公共卫生和安全的适用法律法规的规定及特许经营协议的约定，履行公共卫生、安全及环境保护的责任；</w:t>
      </w:r>
    </w:p>
    <w:p w14:paraId="7BD6B0FD">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项目公司应为本项目设立独立的资金账户，用于接收政府方支付的垃圾处理服务费，并用于支付本项目各类费用；</w:t>
      </w:r>
    </w:p>
    <w:p w14:paraId="7650E6EC">
      <w:pPr>
        <w:numPr>
          <w:ilvl w:val="0"/>
          <w:numId w:val="7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项目公司应履行适用法律法规规定及特许经营协议约定的其他义务。</w:t>
      </w:r>
    </w:p>
    <w:p w14:paraId="1DC0B5A7">
      <w:pPr>
        <w:pStyle w:val="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社会资本方的</w:t>
      </w:r>
      <w:r>
        <w:rPr>
          <w:rFonts w:hint="eastAsia"/>
          <w:color w:val="000000" w:themeColor="text1"/>
          <w:lang w:val="en-US" w:eastAsia="zh-CN"/>
          <w14:textFill>
            <w14:solidFill>
              <w14:schemeClr w14:val="tx1"/>
            </w14:solidFill>
          </w14:textFill>
        </w:rPr>
        <w:t>一般</w:t>
      </w:r>
      <w:r>
        <w:rPr>
          <w:rFonts w:hint="eastAsia"/>
          <w:color w:val="000000" w:themeColor="text1"/>
          <w14:textFill>
            <w14:solidFill>
              <w14:schemeClr w14:val="tx1"/>
            </w14:solidFill>
          </w14:textFill>
        </w:rPr>
        <w:t>权利</w:t>
      </w:r>
    </w:p>
    <w:p w14:paraId="3BD95CF4">
      <w:pPr>
        <w:numPr>
          <w:ilvl w:val="0"/>
          <w:numId w:val="72"/>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作为项目公司股东，有权按照《特许经营协议》中的约定对项目公司行使股东权利，享受项目公司分红。</w:t>
      </w:r>
    </w:p>
    <w:p w14:paraId="6D02815F">
      <w:pPr>
        <w:numPr>
          <w:ilvl w:val="0"/>
          <w:numId w:val="72"/>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政府方违反《</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》约定的情况下，社会资本方有权根据《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》约定获得违约赔偿。</w:t>
      </w:r>
    </w:p>
    <w:p w14:paraId="06CDC4DA">
      <w:pPr>
        <w:numPr>
          <w:ilvl w:val="0"/>
          <w:numId w:val="72"/>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社会资本方有权享有相关法律、法规和《</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》中约定其他权利。</w:t>
      </w:r>
    </w:p>
    <w:p w14:paraId="6313138B">
      <w:pPr>
        <w:pStyle w:val="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社会资本方的</w:t>
      </w:r>
      <w:r>
        <w:rPr>
          <w:rFonts w:hint="eastAsia"/>
          <w:color w:val="000000" w:themeColor="text1"/>
          <w:lang w:val="en-US" w:eastAsia="zh-CN"/>
          <w14:textFill>
            <w14:solidFill>
              <w14:schemeClr w14:val="tx1"/>
            </w14:solidFill>
          </w14:textFill>
        </w:rPr>
        <w:t>一般</w:t>
      </w:r>
      <w:r>
        <w:rPr>
          <w:rFonts w:hint="eastAsia"/>
          <w:color w:val="000000" w:themeColor="text1"/>
          <w14:textFill>
            <w14:solidFill>
              <w14:schemeClr w14:val="tx1"/>
            </w14:solidFill>
          </w14:textFill>
        </w:rPr>
        <w:t>义务</w:t>
      </w:r>
    </w:p>
    <w:p w14:paraId="194AA91E">
      <w:pPr>
        <w:numPr>
          <w:ilvl w:val="0"/>
          <w:numId w:val="73"/>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按照《</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》的约定依法在</w:t>
      </w:r>
      <w:r>
        <w:rPr>
          <w:rFonts w:hint="eastAsia"/>
          <w:color w:val="000000" w:themeColor="text1"/>
          <w:lang w:val="en-US" w:eastAsia="zh-CN"/>
          <w14:textFill>
            <w14:solidFill>
              <w14:schemeClr w14:val="tx1"/>
            </w14:solidFill>
          </w14:textFill>
        </w:rPr>
        <w:t>包头市</w:t>
      </w:r>
      <w:r>
        <w:rPr>
          <w:rFonts w:hint="eastAsia"/>
          <w:color w:val="000000" w:themeColor="text1"/>
          <w14:textFill>
            <w14:solidFill>
              <w14:schemeClr w14:val="tx1"/>
            </w14:solidFill>
          </w14:textFill>
        </w:rPr>
        <w:t>县与政府方出资代表共同出资注册成立项目公司。</w:t>
      </w:r>
    </w:p>
    <w:p w14:paraId="4F43F309">
      <w:pPr>
        <w:numPr>
          <w:ilvl w:val="0"/>
          <w:numId w:val="73"/>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按照《</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》的约定，及时、足额缴纳注册资本，并确保注册资本的合法性。社会资本方不得抽回、侵占、挪用注册资本。</w:t>
      </w:r>
    </w:p>
    <w:p w14:paraId="219B9088">
      <w:pPr>
        <w:numPr>
          <w:ilvl w:val="0"/>
          <w:numId w:val="73"/>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》或《特许经营协议》及适用法律规定的社会资本方应当承担的其他义务。</w:t>
      </w:r>
    </w:p>
    <w:p w14:paraId="18B7E63F">
      <w:pPr>
        <w:pStyle w:val="6"/>
        <w:spacing w:before="156" w:after="156"/>
        <w:ind w:firstLine="562" w:firstLineChars="200"/>
        <w:rPr>
          <w:color w:val="000000" w:themeColor="text1"/>
          <w14:textFill>
            <w14:solidFill>
              <w14:schemeClr w14:val="tx1"/>
            </w14:solidFill>
          </w14:textFill>
        </w:rPr>
      </w:pPr>
      <w:bookmarkStart w:id="411" w:name="bookmark317"/>
      <w:bookmarkEnd w:id="411"/>
      <w:bookmarkStart w:id="412" w:name="bookmark316"/>
      <w:bookmarkEnd w:id="412"/>
      <w:bookmarkStart w:id="413" w:name="bookmark315"/>
      <w:bookmarkEnd w:id="413"/>
      <w:bookmarkStart w:id="414" w:name="bookmark318"/>
      <w:bookmarkEnd w:id="414"/>
      <w:bookmarkStart w:id="415" w:name="_Toc29545"/>
      <w:r>
        <w:rPr>
          <w:rFonts w:hint="eastAsia"/>
          <w:color w:val="000000" w:themeColor="text1"/>
          <w14:textFill>
            <w14:solidFill>
              <w14:schemeClr w14:val="tx1"/>
            </w14:solidFill>
          </w14:textFill>
        </w:rPr>
        <w:t>额外收益分配</w:t>
      </w:r>
    </w:p>
    <w:p w14:paraId="6208B1C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规范实施政府和社会资本合作新机制的指导意见》（国办函〔2023〕115号）“鼓励特许经营者通过技术创新、管理创新和商业模式创新等降低建设和运营成本，提高投资收益，促进政府和社会资本合作项目更好实施。特许经营者在保障项目质量和产出（服务）效果的前提下，通过加强管理、降低成本、提升效率、积极创新等获得的额外收益主要归特许经营者所有”。</w:t>
      </w:r>
    </w:p>
    <w:p w14:paraId="02986C7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项目公司可在合法合规的范围内，结合新的技术提供相应的公共服务。其中通过加强管理、降低成本、提升效率、积极创新等获得的额外收益主要归特许经营者所有。</w:t>
      </w:r>
    </w:p>
    <w:p w14:paraId="2C86F1C5">
      <w:pPr>
        <w:pStyle w:val="5"/>
        <w:numPr>
          <w:ilvl w:val="2"/>
          <w:numId w:val="64"/>
        </w:numPr>
        <w:rPr>
          <w:color w:val="000000" w:themeColor="text1"/>
          <w14:textFill>
            <w14:solidFill>
              <w14:schemeClr w14:val="tx1"/>
            </w14:solidFill>
          </w14:textFill>
        </w:rPr>
      </w:pPr>
      <w:bookmarkStart w:id="416" w:name="_Toc10465"/>
      <w:r>
        <w:rPr>
          <w:color w:val="000000" w:themeColor="text1"/>
          <w14:textFill>
            <w14:solidFill>
              <w14:schemeClr w14:val="tx1"/>
            </w14:solidFill>
          </w14:textFill>
        </w:rPr>
        <w:t>特许经营者选择</w:t>
      </w:r>
      <w:bookmarkEnd w:id="415"/>
      <w:bookmarkEnd w:id="416"/>
    </w:p>
    <w:p w14:paraId="4FF5DDCC">
      <w:pPr>
        <w:pStyle w:val="6"/>
        <w:numPr>
          <w:ilvl w:val="3"/>
          <w:numId w:val="64"/>
        </w:numPr>
        <w:spacing w:before="156" w:after="156"/>
        <w:rPr>
          <w:color w:val="000000" w:themeColor="text1"/>
          <w14:textFill>
            <w14:solidFill>
              <w14:schemeClr w14:val="tx1"/>
            </w14:solidFill>
          </w14:textFill>
        </w:rPr>
      </w:pPr>
      <w:bookmarkStart w:id="417" w:name="_Toc31098"/>
      <w:r>
        <w:rPr>
          <w:color w:val="000000" w:themeColor="text1"/>
          <w14:textFill>
            <w14:solidFill>
              <w14:schemeClr w14:val="tx1"/>
            </w14:solidFill>
          </w14:textFill>
        </w:rPr>
        <w:t>特许经营者基本条件</w:t>
      </w:r>
      <w:bookmarkEnd w:id="417"/>
    </w:p>
    <w:p w14:paraId="264AB3A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本项目的特许经营者要求为在中国境内外依法注册的企业法人或其他组织，且合法存续，没有处于被吊销营业执照、责令关闭或者被撤销等不良状态。</w:t>
      </w:r>
    </w:p>
    <w:p w14:paraId="1ADBC226">
      <w:pPr>
        <w:pStyle w:val="6"/>
        <w:numPr>
          <w:ilvl w:val="3"/>
          <w:numId w:val="64"/>
        </w:numPr>
        <w:spacing w:before="156" w:after="156"/>
        <w:rPr>
          <w:color w:val="000000" w:themeColor="text1"/>
          <w14:textFill>
            <w14:solidFill>
              <w14:schemeClr w14:val="tx1"/>
            </w14:solidFill>
          </w14:textFill>
        </w:rPr>
      </w:pPr>
      <w:bookmarkStart w:id="418" w:name="_Toc1189"/>
      <w:r>
        <w:rPr>
          <w:rFonts w:hint="eastAsia"/>
          <w:color w:val="000000" w:themeColor="text1"/>
          <w14:textFill>
            <w14:solidFill>
              <w14:schemeClr w14:val="tx1"/>
            </w14:solidFill>
          </w14:textFill>
        </w:rPr>
        <w:t>特许经营者选择方式</w:t>
      </w:r>
      <w:bookmarkEnd w:id="418"/>
    </w:p>
    <w:p w14:paraId="7BB3FE8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发展改革委等六部门修订后、自2024年5月1日起施行的《基础设施和公用事业特许经营管理办法》第十六条规定，“实施机构根据经审定的特许经营方案，应当通过招标、谈判等公开竞争方式选择特许经营者”。</w:t>
      </w:r>
    </w:p>
    <w:p w14:paraId="433848E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《关于规范实施政府和社会资本合作新机制的指导意见》（国办函〔2023〕115号）第（八）条规定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“项目实施机构应根据经批准的特许经营方案，通过公开竞争方式依法依规选择特许经营者”。</w:t>
      </w:r>
    </w:p>
    <w:p w14:paraId="072032E0">
      <w:pPr>
        <w:ind w:firstLine="560" w:firstLineChars="200"/>
        <w:rPr>
          <w:rFonts w:hint="eastAsia" w:eastAsia="黑体"/>
          <w:lang w:val="en-US" w:eastAsia="zh-CN"/>
        </w:rPr>
      </w:pPr>
      <w:r>
        <w:rPr>
          <w:color w:val="000000" w:themeColor="text1"/>
          <w14:textFill>
            <w14:solidFill>
              <w14:schemeClr w14:val="tx1"/>
            </w14:solidFill>
          </w14:textFill>
        </w:rPr>
        <w:t>综上所述，本项目拟通过公开招标方式选定特许经营者。</w:t>
      </w:r>
    </w:p>
    <w:p w14:paraId="0ECA5C6F">
      <w:pPr>
        <w:pStyle w:val="6"/>
        <w:numPr>
          <w:ilvl w:val="3"/>
          <w:numId w:val="64"/>
        </w:numPr>
        <w:spacing w:before="156" w:after="156"/>
        <w:rPr>
          <w:color w:val="000000" w:themeColor="text1"/>
          <w14:textFill>
            <w14:solidFill>
              <w14:schemeClr w14:val="tx1"/>
            </w14:solidFill>
          </w14:textFill>
        </w:rPr>
      </w:pPr>
      <w:bookmarkStart w:id="419" w:name="_Toc120"/>
      <w:r>
        <w:rPr>
          <w:color w:val="000000" w:themeColor="text1"/>
          <w14:textFill>
            <w14:solidFill>
              <w14:schemeClr w14:val="tx1"/>
            </w14:solidFill>
          </w14:textFill>
        </w:rPr>
        <w:t>特许经营者选择标准</w:t>
      </w:r>
      <w:bookmarkEnd w:id="419"/>
    </w:p>
    <w:p w14:paraId="4CBEDAF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要求</w:t>
      </w:r>
      <w:r>
        <w:rPr>
          <w:rFonts w:hint="eastAsia" w:ascii="仿宋" w:hAnsi="仿宋" w:cs="仿宋"/>
          <w:color w:val="000000" w:themeColor="text1"/>
          <w14:textFill>
            <w14:solidFill>
              <w14:schemeClr w14:val="tx1"/>
            </w14:solidFill>
          </w14:textFill>
        </w:rPr>
        <w:t>“</w:t>
      </w:r>
      <w:r>
        <w:rPr>
          <w:color w:val="000000" w:themeColor="text1"/>
          <w14:textFill>
            <w14:solidFill>
              <w14:schemeClr w14:val="tx1"/>
            </w14:solidFill>
          </w14:textFill>
        </w:rPr>
        <w:t>要坚持初衷、回归本源，最大程度鼓励民营企业参与政府和社会资本合作新建（含改扩建）项目，制定《支持民营企业参与的特许经营新建（含改扩建）项目清单（2023年版）》（以下简</w:t>
      </w:r>
      <w:r>
        <w:rPr>
          <w:rFonts w:hint="eastAsia" w:ascii="仿宋" w:hAnsi="仿宋" w:cs="仿宋"/>
          <w:color w:val="000000" w:themeColor="text1"/>
          <w14:textFill>
            <w14:solidFill>
              <w14:schemeClr w14:val="tx1"/>
            </w14:solidFill>
          </w14:textFill>
        </w:rPr>
        <w:t>称“</w:t>
      </w:r>
      <w:r>
        <w:rPr>
          <w:color w:val="000000" w:themeColor="text1"/>
          <w14:textFill>
            <w14:solidFill>
              <w14:schemeClr w14:val="tx1"/>
            </w14:solidFill>
          </w14:textFill>
        </w:rPr>
        <w:t>《清单（2023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年版）》</w:t>
      </w:r>
      <w:r>
        <w:rPr>
          <w:rFonts w:hint="eastAsia" w:ascii="仿宋" w:hAnsi="仿宋" w:cs="仿宋"/>
          <w:color w:val="000000" w:themeColor="text1"/>
          <w14:textFill>
            <w14:solidFill>
              <w14:schemeClr w14:val="tx1"/>
            </w14:solidFill>
          </w14:textFill>
        </w:rPr>
        <w:t>”）并动态调整</w:t>
      </w:r>
      <w:r>
        <w:rPr>
          <w:rFonts w:hint="eastAsia" w:ascii="仿宋" w:hAnsi="仿宋" w:cs="仿宋"/>
          <w:color w:val="000000" w:themeColor="text1"/>
          <w:lang w:eastAsia="zh-CN"/>
          <w14:textFill>
            <w14:solidFill>
              <w14:schemeClr w14:val="tx1"/>
            </w14:solidFill>
          </w14:textFill>
        </w:rPr>
        <w:t>。市场化程度较高、公共属性较弱的项目，应由民营企业独资或控股；关系国计民生、公共属性较强的项目，民营企业股权占比原则上不低于35%；少数涉及国家安全、公共属性强且具有自然垄断属性的项目，应积极创造条件、支持民营企业参与。对清单所列领域以外的政府和社会资本合作项目，可积极鼓励民营企业参与。外商投资企业参与政府和社会资本合作项目按照外商投资管理有关要求并参照上述规定执行。</w:t>
      </w:r>
      <w:r>
        <w:rPr>
          <w:rFonts w:hint="eastAsia" w:ascii="仿宋" w:hAnsi="仿宋" w:cs="仿宋"/>
          <w:color w:val="000000" w:themeColor="text1"/>
          <w14:textFill>
            <w14:solidFill>
              <w14:schemeClr w14:val="tx1"/>
            </w14:solidFill>
          </w14:textFill>
        </w:rPr>
        <w:t>”</w:t>
      </w:r>
      <w:r>
        <w:rPr>
          <w:color w:val="000000" w:themeColor="text1"/>
          <w14:textFill>
            <w14:solidFill>
              <w14:schemeClr w14:val="tx1"/>
            </w14:solidFill>
          </w14:textFill>
        </w:rPr>
        <w:t>。</w:t>
      </w:r>
    </w:p>
    <w:p w14:paraId="0448CB3F">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本项目属于“115号文”中要求应由民营企业独资或控股的项目。</w:t>
      </w:r>
    </w:p>
    <w:p w14:paraId="3140875F">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在特许经营者选择过程中，拟采用贯彻落实《关于规范实施政府和社会资本合作新机制的指导意见》（国办函〔2023〕115号）、《中共中央国务院关于营造更好发展环境支持民营企业改革发展的意见》（中发〔2019〕49号）精神，合理设置资格条件，积极创造条件、支持民营企业参与，不得以任何形式对民营企业参与本项目特许经营者竞争设置限制性门槛，不得针对民营企业设置不同的评价标准。</w:t>
      </w:r>
    </w:p>
    <w:p w14:paraId="6BBED4F7">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鼓励优先选择民营企业参与的具体要求如下：</w:t>
      </w:r>
    </w:p>
    <w:p w14:paraId="2B0E3725">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一是</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严格按照项目清单要求‌：国家发改委发布的相关通知中，明确要求严格按照《支持民营企业参与的特许经营新建(含改扩建)项目清单(2023年版)》来推动有关特许经营新建或改扩建项目，以吸引民营企业参与‌。</w:t>
      </w:r>
      <w:r>
        <w:rPr>
          <w:rFonts w:hint="eastAsia"/>
          <w:color w:val="000000" w:themeColor="text1"/>
          <w:lang w:val="en-US" w:eastAsia="zh-CN"/>
          <w14:textFill>
            <w14:solidFill>
              <w14:schemeClr w14:val="tx1"/>
            </w14:solidFill>
          </w14:textFill>
        </w:rPr>
        <w:t>本项目为《清单》中应由民营企业独资或控股的项目，在进行特许经营者选择时以上述标准为准。</w:t>
      </w:r>
    </w:p>
    <w:p w14:paraId="16ADCD0D">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二是</w:t>
      </w:r>
      <w:r>
        <w:rPr>
          <w:rFonts w:hint="default"/>
          <w:color w:val="000000" w:themeColor="text1"/>
          <w14:textFill>
            <w14:solidFill>
              <w14:schemeClr w14:val="tx1"/>
            </w14:solidFill>
          </w14:textFill>
        </w:rPr>
        <w:t>‌优先采取公开招标方式‌：在特许经营者的选择上，应优先采取公开招标方式。如果不采取公开招标，需要充分论证其他方式的合法性和合理性，并且不得采取拍卖等方式来选择特许经营者‌。</w:t>
      </w:r>
    </w:p>
    <w:p w14:paraId="1E766F5E">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三是</w:t>
      </w:r>
      <w:r>
        <w:rPr>
          <w:rFonts w:hint="default"/>
          <w:color w:val="000000" w:themeColor="text1"/>
          <w14:textFill>
            <w14:solidFill>
              <w14:schemeClr w14:val="tx1"/>
            </w14:solidFill>
          </w14:textFill>
        </w:rPr>
        <w:t>‌不得规避评审条件‌：在选择特许经营者时，不得规避如项目管理经验、专业运营能力、企业综合实力、信用评级状况等设定的评审条件，不能仅将标的物总价作为唯一标准‌。</w:t>
      </w:r>
    </w:p>
    <w:p w14:paraId="7BFA4B16">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四是</w:t>
      </w:r>
      <w:r>
        <w:rPr>
          <w:rFonts w:hint="default"/>
          <w:color w:val="000000" w:themeColor="text1"/>
          <w14:textFill>
            <w14:solidFill>
              <w14:schemeClr w14:val="tx1"/>
            </w14:solidFill>
          </w14:textFill>
        </w:rPr>
        <w:t>‌重要评定标准‌：项目运营方案、收费单价、特许经营期限等应被视为选择特许经营者的重要评定标准。同时，不得设置限制民营企业参与的招标条件或评标标准</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w:t>
      </w:r>
    </w:p>
    <w:p w14:paraId="77A9D6D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本方案对特许经营者应具备的条件提出以下建议，最终以招标文件为准。</w:t>
      </w:r>
    </w:p>
    <w:p w14:paraId="49A42E0E">
      <w:pPr>
        <w:pStyle w:val="8"/>
        <w:rPr>
          <w:color w:val="000000" w:themeColor="text1"/>
          <w14:textFill>
            <w14:solidFill>
              <w14:schemeClr w14:val="tx1"/>
            </w14:solidFill>
          </w14:textFill>
        </w:rPr>
      </w:pPr>
      <w:r>
        <w:rPr>
          <w:color w:val="000000" w:themeColor="text1"/>
          <w14:textFill>
            <w14:solidFill>
              <w14:schemeClr w14:val="tx1"/>
            </w14:solidFill>
          </w14:textFill>
        </w:rPr>
        <w:t>主体资格</w:t>
      </w:r>
    </w:p>
    <w:p w14:paraId="3A87A63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特许经营者要求为在中国境内外依法注册的企业法人或其他组织，且合法存续，没有处于被吊销营业执照、责令关闭或者被撤销等不良状态。</w:t>
      </w:r>
    </w:p>
    <w:p w14:paraId="0100E26E">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资质要求</w:t>
      </w:r>
    </w:p>
    <w:p w14:paraId="19FB43E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社会资本方应根据项目建设内容要求具备相应的行业资质，最终资质要求以招标文件为准。</w:t>
      </w:r>
    </w:p>
    <w:p w14:paraId="576868EE">
      <w:pPr>
        <w:pStyle w:val="8"/>
        <w:rPr>
          <w:color w:val="000000" w:themeColor="text1"/>
          <w14:textFill>
            <w14:solidFill>
              <w14:schemeClr w14:val="tx1"/>
            </w14:solidFill>
          </w14:textFill>
        </w:rPr>
      </w:pPr>
      <w:r>
        <w:rPr>
          <w:color w:val="000000" w:themeColor="text1"/>
          <w14:textFill>
            <w14:solidFill>
              <w14:schemeClr w14:val="tx1"/>
            </w14:solidFill>
          </w14:textFill>
        </w:rPr>
        <w:t>投融资业绩要求</w:t>
      </w:r>
    </w:p>
    <w:p w14:paraId="5B8E556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需具备同类项目投资、建设及运营经验（投资、建设及运营，投标人至少具有一</w:t>
      </w:r>
      <w:r>
        <w:rPr>
          <w:rFonts w:hint="eastAsia"/>
          <w:color w:val="000000" w:themeColor="text1"/>
          <w:lang w:val="en-US" w:eastAsia="zh-CN"/>
          <w14:textFill>
            <w14:solidFill>
              <w14:schemeClr w14:val="tx1"/>
            </w14:solidFill>
          </w14:textFill>
        </w:rPr>
        <w:t>个</w:t>
      </w:r>
      <w:r>
        <w:rPr>
          <w:rFonts w:hint="eastAsia"/>
          <w:color w:val="000000" w:themeColor="text1"/>
          <w14:textFill>
            <w14:solidFill>
              <w14:schemeClr w14:val="tx1"/>
            </w14:solidFill>
          </w14:textFill>
        </w:rPr>
        <w:t>以上业绩）。最终业绩要求以招标文件为准。</w:t>
      </w:r>
    </w:p>
    <w:p w14:paraId="7E6F37F7">
      <w:pPr>
        <w:pStyle w:val="8"/>
        <w:rPr>
          <w:color w:val="000000" w:themeColor="text1"/>
          <w14:textFill>
            <w14:solidFill>
              <w14:schemeClr w14:val="tx1"/>
            </w14:solidFill>
          </w14:textFill>
        </w:rPr>
      </w:pPr>
      <w:r>
        <w:rPr>
          <w:color w:val="000000" w:themeColor="text1"/>
          <w14:textFill>
            <w14:solidFill>
              <w14:schemeClr w14:val="tx1"/>
            </w14:solidFill>
          </w14:textFill>
        </w:rPr>
        <w:t>财务要求</w:t>
      </w:r>
    </w:p>
    <w:p w14:paraId="0BC2FFF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特许经营者最近连续三年（公司成立时间不足三年的，自公司成立当年起算）</w:t>
      </w:r>
      <w:r>
        <w:rPr>
          <w:rFonts w:hint="eastAsia"/>
          <w:color w:val="000000" w:themeColor="text1"/>
          <w14:textFill>
            <w14:solidFill>
              <w14:schemeClr w14:val="tx1"/>
            </w14:solidFill>
          </w14:textFill>
        </w:rPr>
        <w:t>财务状况良好，</w:t>
      </w:r>
      <w:r>
        <w:rPr>
          <w:color w:val="000000" w:themeColor="text1"/>
          <w14:textFill>
            <w14:solidFill>
              <w14:schemeClr w14:val="tx1"/>
            </w14:solidFill>
          </w14:textFill>
        </w:rPr>
        <w:t>每年均为盈利，且年度财务报告经具有法定资格的中介机构审计；目前没有处于财产被接管、被冻结、被申请破产或其他不良状态、无重大不良资产或不良投资项目。</w:t>
      </w:r>
      <w:r>
        <w:rPr>
          <w:rFonts w:hint="eastAsia"/>
          <w:color w:val="000000" w:themeColor="text1"/>
          <w14:textFill>
            <w14:solidFill>
              <w14:schemeClr w14:val="tx1"/>
            </w14:solidFill>
          </w14:textFill>
        </w:rPr>
        <w:t>投标人的资金能力应能够满足本项目资本金出资及融资需要，最终财务要求以招标文件为准。</w:t>
      </w:r>
    </w:p>
    <w:p w14:paraId="52E326C2">
      <w:pPr>
        <w:pStyle w:val="8"/>
        <w:rPr>
          <w:color w:val="000000" w:themeColor="text1"/>
          <w14:textFill>
            <w14:solidFill>
              <w14:schemeClr w14:val="tx1"/>
            </w14:solidFill>
          </w14:textFill>
        </w:rPr>
      </w:pPr>
      <w:r>
        <w:rPr>
          <w:color w:val="000000" w:themeColor="text1"/>
          <w14:textFill>
            <w14:solidFill>
              <w14:schemeClr w14:val="tx1"/>
            </w14:solidFill>
          </w14:textFill>
        </w:rPr>
        <w:t>信誉要求</w:t>
      </w:r>
    </w:p>
    <w:p w14:paraId="6F52D3D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特许经营者在经济活动中无重大违法违规行为，近三年内财务会计资料无虚假记载、银行和税务信用评价系统或企业系统中无不良记录；近三年内企业无涉及重大资产的不良诉讼（注：不良诉讼指因投标人重大过错所致或可能会对其履约能力造成重大影响的诉讼）；在“信用中国”网站（http://www.creditchina.gov.cn/）或“中国执行信息公开网”（http://zxgk.court.gov.cn）中未被列入失信被执行人名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在国家企业信用信息公示系统（http://www.gsxt.gov.cn/）中未被列入经营异常名录、严重违法失信企业名单</w:t>
      </w:r>
      <w:r>
        <w:rPr>
          <w:rFonts w:hint="eastAsia"/>
          <w:color w:val="000000" w:themeColor="text1"/>
          <w14:textFill>
            <w14:solidFill>
              <w14:schemeClr w14:val="tx1"/>
            </w14:solidFill>
          </w14:textFill>
        </w:rPr>
        <w:t>。最终信誉要求以招标文件为准。</w:t>
      </w:r>
    </w:p>
    <w:p w14:paraId="0FDEA33B">
      <w:pPr>
        <w:pStyle w:val="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招标标的</w:t>
      </w:r>
    </w:p>
    <w:p w14:paraId="4EF64DA1">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本项目招标标的为投标人所报的垃圾处理服务费价格。</w:t>
      </w:r>
    </w:p>
    <w:p w14:paraId="5796BAFF">
      <w:pPr>
        <w:pStyle w:val="8"/>
        <w:rPr>
          <w:color w:val="000000" w:themeColor="text1"/>
          <w14:textFill>
            <w14:solidFill>
              <w14:schemeClr w14:val="tx1"/>
            </w14:solidFill>
          </w14:textFill>
        </w:rPr>
      </w:pPr>
      <w:r>
        <w:rPr>
          <w:color w:val="000000" w:themeColor="text1"/>
          <w14:textFill>
            <w14:solidFill>
              <w14:schemeClr w14:val="tx1"/>
            </w14:solidFill>
          </w14:textFill>
        </w:rPr>
        <w:t>联合体投标要求</w:t>
      </w:r>
    </w:p>
    <w:p w14:paraId="4C90B04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本项目接受联合体投标</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最终</w:t>
      </w:r>
      <w:r>
        <w:rPr>
          <w:rFonts w:hint="eastAsia"/>
          <w:color w:val="000000" w:themeColor="text1"/>
          <w:lang w:val="en-US" w:eastAsia="zh-CN"/>
          <w14:textFill>
            <w14:solidFill>
              <w14:schemeClr w14:val="tx1"/>
            </w14:solidFill>
          </w14:textFill>
        </w:rPr>
        <w:t>条件</w:t>
      </w:r>
      <w:r>
        <w:rPr>
          <w:rFonts w:hint="eastAsia"/>
          <w:color w:val="000000" w:themeColor="text1"/>
          <w14:textFill>
            <w14:solidFill>
              <w14:schemeClr w14:val="tx1"/>
            </w14:solidFill>
          </w14:textFill>
        </w:rPr>
        <w:t>以招标文件为准。</w:t>
      </w:r>
    </w:p>
    <w:p w14:paraId="65C6DC32">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说明</w:t>
      </w:r>
    </w:p>
    <w:p w14:paraId="18FA4C8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章节中涉及的全部招标条件细则，均以招投标平台或招标代理机构实际发布的招标公告及招标文件为准，但细则应能够保证中标社会资本具备如下实力：①丰富的同类项目运营管理经验，以保证本项目的稳定运行。②充足的资金实力及融资能力，避免项目建设及运营过程中出现资金断链等情况。③其他应具备的实力。</w:t>
      </w:r>
    </w:p>
    <w:p w14:paraId="55575D4A">
      <w:pPr>
        <w:pStyle w:val="5"/>
        <w:numPr>
          <w:ilvl w:val="2"/>
          <w:numId w:val="64"/>
        </w:numPr>
        <w:rPr>
          <w:color w:val="000000" w:themeColor="text1"/>
          <w14:textFill>
            <w14:solidFill>
              <w14:schemeClr w14:val="tx1"/>
            </w14:solidFill>
          </w14:textFill>
        </w:rPr>
      </w:pPr>
      <w:bookmarkStart w:id="420" w:name="_Toc5299"/>
      <w:bookmarkStart w:id="421" w:name="_Toc4242"/>
      <w:r>
        <w:rPr>
          <w:color w:val="000000" w:themeColor="text1"/>
          <w14:textFill>
            <w14:solidFill>
              <w14:schemeClr w14:val="tx1"/>
            </w14:solidFill>
          </w14:textFill>
        </w:rPr>
        <w:t>交易结构与投融资结构</w:t>
      </w:r>
      <w:bookmarkEnd w:id="420"/>
      <w:bookmarkEnd w:id="421"/>
    </w:p>
    <w:p w14:paraId="13A2D633">
      <w:pPr>
        <w:pStyle w:val="6"/>
        <w:numPr>
          <w:ilvl w:val="3"/>
          <w:numId w:val="64"/>
        </w:numPr>
        <w:spacing w:before="156" w:after="156"/>
        <w:rPr>
          <w:color w:val="000000" w:themeColor="text1"/>
          <w14:textFill>
            <w14:solidFill>
              <w14:schemeClr w14:val="tx1"/>
            </w14:solidFill>
          </w14:textFill>
        </w:rPr>
      </w:pPr>
      <w:bookmarkStart w:id="422" w:name="_Toc25049"/>
      <w:r>
        <w:rPr>
          <w:rFonts w:hint="eastAsia"/>
          <w:color w:val="000000" w:themeColor="text1"/>
          <w14:textFill>
            <w14:solidFill>
              <w14:schemeClr w14:val="tx1"/>
            </w14:solidFill>
          </w14:textFill>
        </w:rPr>
        <w:t>交易结构</w:t>
      </w:r>
      <w:bookmarkEnd w:id="422"/>
    </w:p>
    <w:p w14:paraId="69000EB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实施授权路径</w:t>
      </w:r>
    </w:p>
    <w:p w14:paraId="4242229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本项目采用特许经营模式进行运作，</w:t>
      </w:r>
      <w:r>
        <w:rPr>
          <w:rFonts w:hint="eastAsia"/>
          <w:color w:val="000000" w:themeColor="text1"/>
          <w14:textFill>
            <w14:solidFill>
              <w14:schemeClr w14:val="tx1"/>
            </w14:solidFill>
          </w14:textFill>
        </w:rPr>
        <w:t>包头市城市管理局</w:t>
      </w:r>
      <w:r>
        <w:rPr>
          <w:color w:val="000000" w:themeColor="text1"/>
          <w14:textFill>
            <w14:solidFill>
              <w14:schemeClr w14:val="tx1"/>
            </w14:solidFill>
          </w14:textFill>
        </w:rPr>
        <w:t>通过法定程序选择社会资本，</w:t>
      </w:r>
      <w:r>
        <w:rPr>
          <w:rFonts w:hint="eastAsia"/>
          <w:color w:val="000000" w:themeColor="text1"/>
          <w14:textFill>
            <w14:solidFill>
              <w14:schemeClr w14:val="tx1"/>
            </w14:solidFill>
          </w14:textFill>
        </w:rPr>
        <w:t>包头市人民政府</w:t>
      </w:r>
      <w:r>
        <w:rPr>
          <w:color w:val="000000" w:themeColor="text1"/>
          <w14:textFill>
            <w14:solidFill>
              <w14:schemeClr w14:val="tx1"/>
            </w14:solidFill>
          </w14:textFill>
        </w:rPr>
        <w:t>授权包头市环卫产业有限责任公司作为政府方出资代表与中选社会资本在包头市共同组建项目公司</w:t>
      </w:r>
      <w:r>
        <w:rPr>
          <w:rFonts w:hint="eastAsia"/>
          <w:color w:val="000000" w:themeColor="text1"/>
          <w14:textFill>
            <w14:solidFill>
              <w14:schemeClr w14:val="tx1"/>
            </w14:solidFill>
          </w14:textFill>
        </w:rPr>
        <w:t>，</w:t>
      </w:r>
      <w:r>
        <w:rPr>
          <w:rFonts w:hint="eastAsia" w:ascii="仿宋" w:hAnsi="仿宋" w:cs="仿宋"/>
          <w:color w:val="000000" w:themeColor="text1"/>
          <w14:textFill>
            <w14:solidFill>
              <w14:schemeClr w14:val="tx1"/>
            </w14:solidFill>
          </w14:textFill>
        </w:rPr>
        <w:t>在特许经营期内负责本项目的投资、融资、勘察设计、建设、运营、维护及移交等工作</w:t>
      </w:r>
      <w:r>
        <w:rPr>
          <w:rFonts w:hint="eastAsia"/>
          <w:color w:val="000000" w:themeColor="text1"/>
          <w14:textFill>
            <w14:solidFill>
              <w14:schemeClr w14:val="tx1"/>
            </w14:solidFill>
          </w14:textFill>
        </w:rPr>
        <w:t>。</w:t>
      </w:r>
    </w:p>
    <w:p w14:paraId="7E35714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环卫产业有限责任公司于2001年6月成立，是一家专业从事道路机械化清扫、垃圾消纳处置的公益性国有独资企业，公司注册资本金5000万元。2022年9月22日，按照市政府国有企业改革要求，隶属关系调整至包头市水务集团。公司下设五个二级单位和两个控股公司：机械化道路机扫站、生活垃圾处理中心、东河垃圾填埋场、建筑渣土处理场、城市垃圾转运中心、包头市市卫同兴渣土清运公司、包头市固废再生资源利用有限责任公司。</w:t>
      </w:r>
    </w:p>
    <w:p w14:paraId="63470DF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项目公司在特许经营期内负责本项目的投资、融资、勘察设计、建设、运营、维护及移交等工作；特许经营期届满后，项目公司将本项目设施及权益完好、无偿、不设任何权利负担地移交给</w:t>
      </w:r>
      <w:r>
        <w:rPr>
          <w:rFonts w:hint="eastAsia"/>
          <w:color w:val="000000" w:themeColor="text1"/>
          <w14:textFill>
            <w14:solidFill>
              <w14:schemeClr w14:val="tx1"/>
            </w14:solidFill>
          </w14:textFill>
        </w:rPr>
        <w:t>包头市城市管理局</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包头市人民政府</w:t>
      </w:r>
      <w:r>
        <w:rPr>
          <w:color w:val="000000" w:themeColor="text1"/>
          <w14:textFill>
            <w14:solidFill>
              <w14:schemeClr w14:val="tx1"/>
            </w14:solidFill>
          </w14:textFill>
        </w:rPr>
        <w:t>指定机构。</w:t>
      </w:r>
      <w:r>
        <w:rPr>
          <w:rFonts w:hint="eastAsia"/>
          <w:color w:val="000000" w:themeColor="text1"/>
          <w14:textFill>
            <w14:solidFill>
              <w14:schemeClr w14:val="tx1"/>
            </w14:solidFill>
          </w14:textFill>
        </w:rPr>
        <w:t>本项目交易结构如下图：</w:t>
      </w:r>
    </w:p>
    <w:p w14:paraId="37EF11CC">
      <w:pPr>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drawing>
          <wp:inline distT="0" distB="0" distL="114300" distR="114300">
            <wp:extent cx="5267960" cy="2341245"/>
            <wp:effectExtent l="0" t="0" r="2540" b="8255"/>
            <wp:docPr id="11" name="图片 11" descr="926698ecaee5a9d9ccb045e3337b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6698ecaee5a9d9ccb045e3337bb2d"/>
                    <pic:cNvPicPr>
                      <a:picLocks noChangeAspect="1"/>
                    </pic:cNvPicPr>
                  </pic:nvPicPr>
                  <pic:blipFill>
                    <a:blip r:embed="rId33"/>
                    <a:stretch>
                      <a:fillRect/>
                    </a:stretch>
                  </pic:blipFill>
                  <pic:spPr>
                    <a:xfrm>
                      <a:off x="0" y="0"/>
                      <a:ext cx="5267960" cy="2341245"/>
                    </a:xfrm>
                    <a:prstGeom prst="rect">
                      <a:avLst/>
                    </a:prstGeom>
                  </pic:spPr>
                </pic:pic>
              </a:graphicData>
            </a:graphic>
          </wp:inline>
        </w:drawing>
      </w:r>
    </w:p>
    <w:p w14:paraId="698A95E0">
      <w:pPr>
        <w:pStyle w:val="38"/>
        <w:numPr>
          <w:ilvl w:val="0"/>
          <w:numId w:val="9"/>
        </w:numPr>
        <w:ind w:left="454" w:leftChars="0" w:hanging="454" w:firstLineChars="0"/>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项目交易结构图</w:t>
      </w:r>
    </w:p>
    <w:p w14:paraId="04A49941">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包头市人民政府授权包头市城市管理局作为本项目实施机构，负责本项目的准备、采购、签约、执行、监管和移交等各项具体工作；</w:t>
      </w:r>
    </w:p>
    <w:p w14:paraId="39981526">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包头市城市管理局按照公开、公平、公正和诚实守信原则，采用法定程序选择社会资本；</w:t>
      </w:r>
    </w:p>
    <w:p w14:paraId="1A703809">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包头市人民政府授权</w:t>
      </w:r>
      <w:bookmarkStart w:id="423" w:name="OLE_LINK1"/>
      <w:r>
        <w:rPr>
          <w:rFonts w:hint="eastAsia"/>
          <w:color w:val="000000" w:themeColor="text1"/>
          <w14:textFill>
            <w14:solidFill>
              <w14:schemeClr w14:val="tx1"/>
            </w14:solidFill>
          </w14:textFill>
        </w:rPr>
        <w:t>包头市环卫产业有限责任公司</w:t>
      </w:r>
      <w:bookmarkEnd w:id="423"/>
      <w:r>
        <w:rPr>
          <w:rFonts w:hint="eastAsia"/>
          <w:color w:val="000000" w:themeColor="text1"/>
          <w14:textFill>
            <w14:solidFill>
              <w14:schemeClr w14:val="tx1"/>
            </w14:solidFill>
          </w14:textFill>
        </w:rPr>
        <w:t>作为政府方出资代表与中选社会资本在包头市共同组建项目公司。项目公司应为本项目设立独立的资金账户，用于接收包头市城市管理局支付的垃圾处理服务费，并用于支付本项目各类费用，政府部门有权利对此资金账户进行监管；</w:t>
      </w:r>
    </w:p>
    <w:p w14:paraId="5E2273F4">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包头市城市管理局与项目公司签署特许经营协议，授予项目公司</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，项目公司负责本项目的投资、融资、勘察设计、建设、运营、维护等工作；</w:t>
      </w:r>
    </w:p>
    <w:p w14:paraId="6AC74ACE">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特许经营期间，包头市城市管理局根据特许经营协议的约定，对项目公司进行绩效考核，未达到考核标准的，按照合同约定对其进行处罚，并责令限期整改；</w:t>
      </w:r>
    </w:p>
    <w:p w14:paraId="7A8DA1A4">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特许经营期间，项目公司根据特许经营协议的约定及绩效考核结果，获取包头市城市管理局支付的垃圾处理服务费；</w:t>
      </w:r>
    </w:p>
    <w:p w14:paraId="267F047E">
      <w:pPr>
        <w:numPr>
          <w:ilvl w:val="0"/>
          <w:numId w:val="7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特许经营期限届满后，项目公司将本项目设施及权益完好、无偿、不设任何权利负担的移交给包头市城市管理局或包头市人民政府指定机构。</w:t>
      </w:r>
    </w:p>
    <w:p w14:paraId="271B6BB5">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特许经营者持股比例</w:t>
      </w:r>
    </w:p>
    <w:p w14:paraId="61FFD84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自2024年5月1日起施行的《基础设施和公用事业特许经营管理办法》第二十二条，“政府可以在严防新增地方政府隐性债务、符合法律法规和有关政策规定要求的前提下，按照一视同仁的原则，在项目建设期对使用者付费项目给予政府投资支持”。</w:t>
      </w:r>
    </w:p>
    <w:p w14:paraId="2F19916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本项目由包头市城市管理局授权包头市环卫产业有限责任公司作为政府方出资代表与中选社会资本在包头市设立项目公司，政府方与社会资本股权比例为5%：95%。政府方出资方式为财政出资。</w:t>
      </w:r>
    </w:p>
    <w:p w14:paraId="3DD8DB65">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特许经营期中的股权转让限制</w:t>
      </w:r>
    </w:p>
    <w:p w14:paraId="6E459C8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本项目建设期及运营期前</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年内，社会资本方不得转让其拥有的项目公司股权或权益，除非出现下列情况之一：</w:t>
      </w:r>
    </w:p>
    <w:p w14:paraId="2044DEB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（1）这种转让为中华人民共和国法律所要求，或是法院或具有适当管辖权的政府部门所强制的转让；</w:t>
      </w:r>
    </w:p>
    <w:p w14:paraId="1FE6E7D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（2）依法进行项目再融资，例如，发行基础设施领域不动产投资信托基金（REITs）、发行项目收益票据、不动产信托资产支持票据和资产证券化产品等。</w:t>
      </w:r>
    </w:p>
    <w:p w14:paraId="014A0DC8">
      <w:pPr>
        <w:ind w:firstLine="560" w:firstLineChars="200"/>
        <w:rPr>
          <w:rFonts w:hint="default"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本项目建设完成且运营期满</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年，须经</w:t>
      </w:r>
      <w:r>
        <w:rPr>
          <w:rFonts w:hint="eastAsia"/>
          <w:color w:val="000000" w:themeColor="text1"/>
          <w:lang w:val="en-US" w:eastAsia="zh-CN"/>
          <w14:textFill>
            <w14:solidFill>
              <w14:schemeClr w14:val="tx1"/>
            </w14:solidFill>
          </w14:textFill>
        </w:rPr>
        <w:t>包头市</w:t>
      </w:r>
      <w:r>
        <w:rPr>
          <w:rFonts w:hint="eastAsia"/>
          <w:color w:val="000000" w:themeColor="text1"/>
          <w14:textFill>
            <w14:solidFill>
              <w14:schemeClr w14:val="tx1"/>
            </w14:solidFill>
          </w14:textFill>
        </w:rPr>
        <w:t>人民政府书面同意后，社会资本方方可直接或者间接转让其在项目公司的股权或权益，但应履行《公司法》规定及《公司章程》约定的股权转让相关程序。</w:t>
      </w:r>
      <w:r>
        <w:rPr>
          <w:rFonts w:hint="eastAsia"/>
          <w:color w:val="000000" w:themeColor="text1"/>
          <w:lang w:val="en-US" w:eastAsia="zh-CN"/>
          <w14:textFill>
            <w14:solidFill>
              <w14:schemeClr w14:val="tx1"/>
            </w14:solidFill>
          </w14:textFill>
        </w:rPr>
        <w:t>其股权转让操作程序也需符合届时的法律法规或政策文件的相关要求。</w:t>
      </w:r>
    </w:p>
    <w:p w14:paraId="02EC2CA9">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项目合同体系</w:t>
      </w:r>
    </w:p>
    <w:p w14:paraId="3979F5C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特许经营项目中，项目参与方通过签署一系列合同来确立和调整彼此之间权利义务关系，构成特许经营项目基本合同体系。根据项目的不同特点，相应的合同体系也会不同。本特许经营项目合同体系包括《股东协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》、《特许经营协议》、《融资合同》、《保险合同》、《第三方履约合同》（包括《工程承包合同》、《运营服务合同》、《采购供应合同》、《咨询服务合同》等）。</w:t>
      </w:r>
    </w:p>
    <w:p w14:paraId="16D5ED52">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《股东协议》</w:t>
      </w:r>
    </w:p>
    <w:p w14:paraId="27FE251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项目招标确定中标</w:t>
      </w:r>
      <w:r>
        <w:rPr>
          <w:rFonts w:hint="eastAsia"/>
          <w:color w:val="000000" w:themeColor="text1"/>
          <w:lang w:eastAsia="zh-CN"/>
          <w14:textFill>
            <w14:solidFill>
              <w14:schemeClr w14:val="tx1"/>
            </w14:solidFill>
          </w14:textFill>
        </w:rPr>
        <w:t>社会资本</w:t>
      </w:r>
      <w:r>
        <w:rPr>
          <w:rFonts w:hint="eastAsia"/>
          <w:color w:val="000000" w:themeColor="text1"/>
          <w14:textFill>
            <w14:solidFill>
              <w14:schemeClr w14:val="tx1"/>
            </w14:solidFill>
          </w14:textFill>
        </w:rPr>
        <w:t>后，政府方出资代表先与中标</w:t>
      </w:r>
      <w:r>
        <w:rPr>
          <w:rFonts w:hint="eastAsia"/>
          <w:color w:val="000000" w:themeColor="text1"/>
          <w:lang w:eastAsia="zh-CN"/>
          <w14:textFill>
            <w14:solidFill>
              <w14:schemeClr w14:val="tx1"/>
            </w14:solidFill>
          </w14:textFill>
        </w:rPr>
        <w:t>社会资本</w:t>
      </w:r>
      <w:r>
        <w:rPr>
          <w:rFonts w:hint="eastAsia"/>
          <w:color w:val="000000" w:themeColor="text1"/>
          <w14:textFill>
            <w14:solidFill>
              <w14:schemeClr w14:val="tx1"/>
            </w14:solidFill>
          </w14:textFill>
        </w:rPr>
        <w:t>签订《股东协议》，明确双方的投资合作关系、双方权力义务，约定其在规定期限内注册成立项目公司，完成项目资本金出资工作。</w:t>
      </w:r>
    </w:p>
    <w:p w14:paraId="5BE226C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《股东协议》的主要边界条件包括：</w:t>
      </w:r>
    </w:p>
    <w:p w14:paraId="0DF6229E">
      <w:pPr>
        <w:ind w:left="56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项目公司组织形式</w:t>
      </w:r>
    </w:p>
    <w:p w14:paraId="369AD31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项目公司组织形式为有限责任公司，各方以各自认缴的出资额为限对公司的债务承担责任，公司以其全部资产对公司的债务承担责任。各方按</w:t>
      </w:r>
      <w:r>
        <w:rPr>
          <w:rFonts w:hint="eastAsia"/>
          <w:color w:val="000000" w:themeColor="text1"/>
          <w:lang w:val="en-US" w:eastAsia="zh-CN"/>
          <w14:textFill>
            <w14:solidFill>
              <w14:schemeClr w14:val="tx1"/>
            </w14:solidFill>
          </w14:textFill>
        </w:rPr>
        <w:t>实缴股权</w:t>
      </w:r>
      <w:r>
        <w:rPr>
          <w:color w:val="000000" w:themeColor="text1"/>
          <w14:textFill>
            <w14:solidFill>
              <w14:schemeClr w14:val="tx1"/>
            </w14:solidFill>
          </w14:textFill>
        </w:rPr>
        <w:t>比例分享利润</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承担风险及亏损。</w:t>
      </w:r>
    </w:p>
    <w:p w14:paraId="6CA06B46">
      <w:pPr>
        <w:ind w:left="4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项目公司基本情况</w:t>
      </w:r>
    </w:p>
    <w:p w14:paraId="6140416E">
      <w:pPr>
        <w:numPr>
          <w:ilvl w:val="0"/>
          <w:numId w:val="75"/>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项目公司经营范围</w:t>
      </w:r>
    </w:p>
    <w:p w14:paraId="791B137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项目公司负责本项目投资合作协议项下的投资、融资、建设及运营维护业务。</w:t>
      </w:r>
    </w:p>
    <w:p w14:paraId="1EC6BBC3">
      <w:pPr>
        <w:numPr>
          <w:ilvl w:val="0"/>
          <w:numId w:val="75"/>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项目公司注册资本</w:t>
      </w:r>
    </w:p>
    <w:p w14:paraId="491DE14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项目公司注册资本暂定为3000万元。最终以项目公司营业执照中实际注册资本为准。</w:t>
      </w:r>
    </w:p>
    <w:p w14:paraId="1A5979C1">
      <w:pPr>
        <w:ind w:left="56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项目公司股东出资方式、出资比例</w:t>
      </w:r>
    </w:p>
    <w:p w14:paraId="75A0A3B9">
      <w:pPr>
        <w:numPr>
          <w:ilvl w:val="0"/>
          <w:numId w:val="76"/>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出资金额</w:t>
      </w:r>
    </w:p>
    <w:p w14:paraId="2EB5DC6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本项目拟定政府出资代表出资</w:t>
      </w:r>
      <w:r>
        <w:rPr>
          <w:rFonts w:hint="eastAsia"/>
          <w:color w:val="000000" w:themeColor="text1"/>
          <w:lang w:val="en-US" w:eastAsia="zh-CN"/>
          <w14:textFill>
            <w14:solidFill>
              <w14:schemeClr w14:val="tx1"/>
            </w14:solidFill>
          </w14:textFill>
        </w:rPr>
        <w:t>552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万元，持股比例为5%；中标</w:t>
      </w:r>
      <w:r>
        <w:rPr>
          <w:rFonts w:hint="eastAsia"/>
          <w:color w:val="000000" w:themeColor="text1"/>
          <w:lang w:eastAsia="zh-CN"/>
          <w14:textFill>
            <w14:solidFill>
              <w14:schemeClr w14:val="tx1"/>
            </w14:solidFill>
          </w14:textFill>
        </w:rPr>
        <w:t>社会资本</w:t>
      </w:r>
      <w:r>
        <w:rPr>
          <w:rFonts w:hint="eastAsia"/>
          <w:color w:val="000000" w:themeColor="text1"/>
          <w14:textFill>
            <w14:solidFill>
              <w14:schemeClr w14:val="tx1"/>
            </w14:solidFill>
          </w14:textFill>
        </w:rPr>
        <w:t>现金出资</w:t>
      </w:r>
      <w:r>
        <w:rPr>
          <w:rFonts w:hint="eastAsia"/>
          <w:color w:val="000000" w:themeColor="text1"/>
          <w:lang w:val="en-US" w:eastAsia="zh-CN"/>
          <w14:textFill>
            <w14:solidFill>
              <w14:schemeClr w14:val="tx1"/>
            </w14:solidFill>
          </w14:textFill>
        </w:rPr>
        <w:t>10489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86</w:t>
      </w:r>
      <w:r>
        <w:rPr>
          <w:rFonts w:hint="eastAsia"/>
          <w:color w:val="000000" w:themeColor="text1"/>
          <w14:textFill>
            <w14:solidFill>
              <w14:schemeClr w14:val="tx1"/>
            </w14:solidFill>
          </w14:textFill>
        </w:rPr>
        <w:t>万元，持股比例为95%。实际股权比例以各方股东实缴注册资本确定。</w:t>
      </w:r>
    </w:p>
    <w:p w14:paraId="11D5405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如因项目规模或贷款条件调整导致需要追加项目资本金的，</w:t>
      </w:r>
      <w:r>
        <w:rPr>
          <w:rFonts w:hint="eastAsia"/>
          <w:color w:val="000000" w:themeColor="text1"/>
          <w:lang w:val="en-US" w:eastAsia="zh-CN"/>
          <w14:textFill>
            <w14:solidFill>
              <w14:schemeClr w14:val="tx1"/>
            </w14:solidFill>
          </w14:textFill>
        </w:rPr>
        <w:t>社会资本方须</w:t>
      </w:r>
      <w:r>
        <w:rPr>
          <w:color w:val="000000" w:themeColor="text1"/>
          <w14:textFill>
            <w14:solidFill>
              <w14:schemeClr w14:val="tx1"/>
            </w14:solidFill>
          </w14:textFill>
        </w:rPr>
        <w:t>根据需要足额追加项目资本金，</w:t>
      </w:r>
      <w:r>
        <w:rPr>
          <w:rFonts w:hint="eastAsia"/>
          <w:color w:val="000000" w:themeColor="text1"/>
          <w:lang w:val="en-US" w:eastAsia="zh-CN"/>
          <w14:textFill>
            <w14:solidFill>
              <w14:schemeClr w14:val="tx1"/>
            </w14:solidFill>
          </w14:textFill>
        </w:rPr>
        <w:t>政府方出资代表出资额保持552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10万元的上限不再追加，社会资本方</w:t>
      </w:r>
      <w:r>
        <w:rPr>
          <w:color w:val="000000" w:themeColor="text1"/>
          <w14:textFill>
            <w14:solidFill>
              <w14:schemeClr w14:val="tx1"/>
            </w14:solidFill>
          </w14:textFill>
        </w:rPr>
        <w:t>追加项目资本金后，项目公司股权结构根据项目公司各股东方资本金</w:t>
      </w:r>
      <w:r>
        <w:rPr>
          <w:rFonts w:hint="eastAsia"/>
          <w:color w:val="000000" w:themeColor="text1"/>
          <w:lang w:val="en-US" w:eastAsia="zh-CN"/>
          <w14:textFill>
            <w14:solidFill>
              <w14:schemeClr w14:val="tx1"/>
            </w14:solidFill>
          </w14:textFill>
        </w:rPr>
        <w:t>实际</w:t>
      </w:r>
      <w:r>
        <w:rPr>
          <w:color w:val="000000" w:themeColor="text1"/>
          <w14:textFill>
            <w14:solidFill>
              <w14:schemeClr w14:val="tx1"/>
            </w14:solidFill>
          </w14:textFill>
        </w:rPr>
        <w:t>出资金额相应变更。</w:t>
      </w:r>
    </w:p>
    <w:p w14:paraId="3D126382">
      <w:pPr>
        <w:numPr>
          <w:ilvl w:val="0"/>
          <w:numId w:val="76"/>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出资方式</w:t>
      </w:r>
    </w:p>
    <w:p w14:paraId="05804F8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政府方出资代表</w:t>
      </w:r>
      <w:r>
        <w:rPr>
          <w:color w:val="000000" w:themeColor="text1"/>
          <w14:textFill>
            <w14:solidFill>
              <w14:schemeClr w14:val="tx1"/>
            </w14:solidFill>
          </w14:textFill>
        </w:rPr>
        <w:t>与中标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应保证各方出资按照本项目融资和建设需求完成实缴，保证项目建设进度，最迟应在项目竣工验收通过之前完成实缴。</w:t>
      </w:r>
    </w:p>
    <w:p w14:paraId="267733E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合作期间，项目公司不得减少注册资本，由于项目总投资降低等原因确需减少的，须经</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同意并履行相关法定程序。</w:t>
      </w:r>
    </w:p>
    <w:p w14:paraId="460EDA31">
      <w:pPr>
        <w:numPr>
          <w:ilvl w:val="0"/>
          <w:numId w:val="76"/>
        </w:num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违约责任</w:t>
      </w:r>
    </w:p>
    <w:p w14:paraId="42D5694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项目公司应于</w:t>
      </w:r>
      <w:r>
        <w:rPr>
          <w:rFonts w:hint="eastAsia"/>
          <w:color w:val="000000" w:themeColor="text1"/>
          <w:lang w:val="en-US" w:eastAsia="zh-CN"/>
          <w14:textFill>
            <w14:solidFill>
              <w14:schemeClr w14:val="tx1"/>
            </w14:solidFill>
          </w14:textFill>
        </w:rPr>
        <w:t>政府方与社会资本方签订《初步协议》</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0个工作日内完成登记注册。项目公司的注册登记因中标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原因每延期</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日</w:t>
      </w:r>
      <w:r>
        <w:rPr>
          <w:rFonts w:hint="eastAsia"/>
          <w:color w:val="000000" w:themeColor="text1"/>
          <w:lang w:val="en-US" w:eastAsia="zh-CN"/>
          <w14:textFill>
            <w14:solidFill>
              <w14:schemeClr w14:val="tx1"/>
            </w14:solidFill>
          </w14:textFill>
        </w:rPr>
        <w:t>且未能在实施机构要求的期限内改正的</w:t>
      </w:r>
      <w:r>
        <w:rPr>
          <w:color w:val="000000" w:themeColor="text1"/>
          <w14:textFill>
            <w14:solidFill>
              <w14:schemeClr w14:val="tx1"/>
            </w14:solidFill>
          </w14:textFill>
        </w:rPr>
        <w:t>，中标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应向</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支付违约金。如在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初步协议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签订</w:t>
      </w:r>
      <w:r>
        <w:rPr>
          <w:color w:val="000000" w:themeColor="text1"/>
          <w14:textFill>
            <w14:solidFill>
              <w14:schemeClr w14:val="tx1"/>
            </w14:solidFill>
          </w14:textFill>
        </w:rPr>
        <w:t>后6</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日内，项目公司因中标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原因仍未进行注册登记</w:t>
      </w:r>
      <w:r>
        <w:rPr>
          <w:rFonts w:hint="eastAsia"/>
          <w:color w:val="000000" w:themeColor="text1"/>
          <w:lang w:val="en-US" w:eastAsia="zh-CN"/>
          <w14:textFill>
            <w14:solidFill>
              <w14:schemeClr w14:val="tx1"/>
            </w14:solidFill>
          </w14:textFill>
        </w:rPr>
        <w:t>且对项目建设产生重大不利影响的</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有权与中标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解除合作关系，取消中标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的中标资格。</w:t>
      </w:r>
      <w:r>
        <w:rPr>
          <w:rFonts w:hint="eastAsia"/>
          <w:color w:val="000000" w:themeColor="text1"/>
          <w14:textFill>
            <w14:solidFill>
              <w14:schemeClr w14:val="tx1"/>
            </w14:solidFill>
          </w14:textFill>
        </w:rPr>
        <w:t>因政府方原因造成的拖延，不视为社会资本方的违约责任。</w:t>
      </w:r>
    </w:p>
    <w:p w14:paraId="1033F28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不得抽回、侵占和挪用项目资本金及其他建设资金。如中标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抽回、侵占或挪用项目资本金及其他建设资金，</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有权要求其限期改正。中标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未能在</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要求的期限内改正的，</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有权兑取建设履约保函，并有权与中标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解除</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，并依法追究中标</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责任。</w:t>
      </w:r>
    </w:p>
    <w:p w14:paraId="33ECE27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其他投资者参与方式</w:t>
      </w:r>
    </w:p>
    <w:p w14:paraId="21B7CD0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项目进入运营期运营稳定</w:t>
      </w:r>
      <w:r>
        <w:rPr>
          <w:rFonts w:hint="eastAsia"/>
          <w:color w:val="000000" w:themeColor="text1"/>
          <w14:textFill>
            <w14:solidFill>
              <w14:schemeClr w14:val="tx1"/>
            </w14:solidFill>
          </w14:textFill>
        </w:rPr>
        <w:t>且渡过股权锁定期</w:t>
      </w:r>
      <w:r>
        <w:rPr>
          <w:color w:val="000000" w:themeColor="text1"/>
          <w14:textFill>
            <w14:solidFill>
              <w14:schemeClr w14:val="tx1"/>
            </w14:solidFill>
          </w14:textFill>
        </w:rPr>
        <w:t>之后，经项目公司各股东方协商一致的情况下，其他投资方可通过股权转让方式参与本项目，且同等条件下优先受让</w:t>
      </w: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方股权。</w:t>
      </w:r>
    </w:p>
    <w:p w14:paraId="2340BC44">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5）利润分配</w:t>
      </w:r>
    </w:p>
    <w:p w14:paraId="05833DD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本项目利润按照各股东</w:t>
      </w:r>
      <w:r>
        <w:rPr>
          <w:rFonts w:hint="eastAsia"/>
          <w:color w:val="000000" w:themeColor="text1"/>
          <w:lang w:val="en-US" w:eastAsia="zh-CN"/>
          <w14:textFill>
            <w14:solidFill>
              <w14:schemeClr w14:val="tx1"/>
            </w14:solidFill>
          </w14:textFill>
        </w:rPr>
        <w:t>实缴</w:t>
      </w:r>
      <w:r>
        <w:rPr>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股权</w:t>
      </w:r>
      <w:r>
        <w:rPr>
          <w:color w:val="000000" w:themeColor="text1"/>
          <w14:textFill>
            <w14:solidFill>
              <w14:schemeClr w14:val="tx1"/>
            </w14:solidFill>
          </w14:textFill>
        </w:rPr>
        <w:t>比例进行分配。</w:t>
      </w:r>
    </w:p>
    <w:p w14:paraId="42C89F18">
      <w:pPr>
        <w:ind w:firstLine="560" w:firstLineChars="200"/>
        <w:rPr>
          <w:rFonts w:hint="eastAsia" w:eastAsia="仿宋"/>
          <w:color w:val="000000" w:themeColor="text1"/>
          <w:lang w:eastAsia="zh-CN"/>
          <w14:textFill>
            <w14:solidFill>
              <w14:schemeClr w14:val="tx1"/>
            </w14:solidFill>
          </w14:textFill>
        </w:rPr>
      </w:pPr>
      <w:r>
        <w:rPr>
          <w:color w:val="000000" w:themeColor="text1"/>
          <w14:textFill>
            <w14:solidFill>
              <w14:schemeClr w14:val="tx1"/>
            </w14:solidFill>
          </w14:textFill>
        </w:rPr>
        <w:t>6）股东方全过程</w:t>
      </w:r>
      <w:r>
        <w:rPr>
          <w:rFonts w:hint="eastAsia"/>
          <w:color w:val="000000" w:themeColor="text1"/>
          <w:lang w:val="en-US" w:eastAsia="zh-CN"/>
          <w14:textFill>
            <w14:solidFill>
              <w14:schemeClr w14:val="tx1"/>
            </w14:solidFill>
          </w14:textFill>
        </w:rPr>
        <w:t>监督</w:t>
      </w:r>
    </w:p>
    <w:p w14:paraId="258C216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项目建设期，</w:t>
      </w:r>
      <w:r>
        <w:rPr>
          <w:rFonts w:hint="eastAsia"/>
          <w:color w:val="000000" w:themeColor="text1"/>
          <w14:textFill>
            <w14:solidFill>
              <w14:schemeClr w14:val="tx1"/>
            </w14:solidFill>
          </w14:textFill>
        </w:rPr>
        <w:t>政府方出资代表</w:t>
      </w:r>
      <w:r>
        <w:rPr>
          <w:color w:val="000000" w:themeColor="text1"/>
          <w14:textFill>
            <w14:solidFill>
              <w14:schemeClr w14:val="tx1"/>
            </w14:solidFill>
          </w14:textFill>
        </w:rPr>
        <w:t>可以安排人员对项目施工、采购等进行全过程</w:t>
      </w:r>
      <w:r>
        <w:rPr>
          <w:rFonts w:hint="eastAsia"/>
          <w:color w:val="000000" w:themeColor="text1"/>
          <w:lang w:val="en-US" w:eastAsia="zh-CN"/>
          <w14:textFill>
            <w14:solidFill>
              <w14:schemeClr w14:val="tx1"/>
            </w14:solidFill>
          </w14:textFill>
        </w:rPr>
        <w:t>监督</w:t>
      </w:r>
      <w:r>
        <w:rPr>
          <w:color w:val="000000" w:themeColor="text1"/>
          <w14:textFill>
            <w14:solidFill>
              <w14:schemeClr w14:val="tx1"/>
            </w14:solidFill>
          </w14:textFill>
        </w:rPr>
        <w:t>。</w:t>
      </w:r>
    </w:p>
    <w:p w14:paraId="0BEA436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股东各方权利与义务</w:t>
      </w:r>
    </w:p>
    <w:p w14:paraId="3528E890">
      <w:pPr>
        <w:numPr>
          <w:ilvl w:val="0"/>
          <w:numId w:val="7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w:t>
      </w:r>
      <w:r>
        <w:rPr>
          <w:color w:val="000000" w:themeColor="text1"/>
          <w14:textFill>
            <w14:solidFill>
              <w14:schemeClr w14:val="tx1"/>
            </w14:solidFill>
          </w14:textFill>
        </w:rPr>
        <w:t>的权利</w:t>
      </w:r>
    </w:p>
    <w:p w14:paraId="7D6EB8D8">
      <w:pPr>
        <w:ind w:firstLine="560" w:firstLineChars="200"/>
        <w:rPr>
          <w:color w:val="000000" w:themeColor="text1"/>
          <w14:textFill>
            <w14:solidFill>
              <w14:schemeClr w14:val="tx1"/>
            </w14:solidFill>
          </w14:textFill>
        </w:rPr>
      </w:pPr>
      <w:r>
        <w:rPr>
          <w:rFonts w:ascii="仿宋" w:hAnsi="仿宋" w:cs="仿宋"/>
          <w:color w:val="000000" w:themeColor="text1"/>
          <w:szCs w:val="28"/>
          <w14:textFill>
            <w14:solidFill>
              <w14:schemeClr w14:val="tx1"/>
            </w14:solidFill>
          </w14:textFill>
        </w:rPr>
        <w:drawing>
          <wp:inline distT="0" distB="0" distL="114300" distR="114300">
            <wp:extent cx="126365" cy="130810"/>
            <wp:effectExtent l="0" t="0" r="6985" b="2540"/>
            <wp:docPr id="120" name="图片 93"/>
            <wp:cNvGraphicFramePr/>
            <a:graphic xmlns:a="http://schemas.openxmlformats.org/drawingml/2006/main">
              <a:graphicData uri="http://schemas.openxmlformats.org/drawingml/2006/picture">
                <pic:pic xmlns:pic="http://schemas.openxmlformats.org/drawingml/2006/picture">
                  <pic:nvPicPr>
                    <pic:cNvPr id="120" name="图片 93"/>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按照</w:t>
      </w:r>
      <w:r>
        <w:rPr>
          <w:rFonts w:hint="eastAsia"/>
          <w:color w:val="000000" w:themeColor="text1"/>
          <w14:textFill>
            <w14:solidFill>
              <w14:schemeClr w14:val="tx1"/>
            </w14:solidFill>
          </w14:textFill>
        </w:rPr>
        <w:t>包头</w:t>
      </w:r>
      <w:r>
        <w:rPr>
          <w:color w:val="000000" w:themeColor="text1"/>
          <w14:textFill>
            <w14:solidFill>
              <w14:schemeClr w14:val="tx1"/>
            </w14:solidFill>
          </w14:textFill>
        </w:rPr>
        <w:t>市</w:t>
      </w:r>
      <w:r>
        <w:rPr>
          <w:rFonts w:hint="eastAsia"/>
          <w:color w:val="000000" w:themeColor="text1"/>
          <w14:textFill>
            <w14:solidFill>
              <w14:schemeClr w14:val="tx1"/>
            </w14:solidFill>
          </w14:textFill>
        </w:rPr>
        <w:t>人民</w:t>
      </w:r>
      <w:r>
        <w:rPr>
          <w:color w:val="000000" w:themeColor="text1"/>
          <w14:textFill>
            <w14:solidFill>
              <w14:schemeClr w14:val="tx1"/>
            </w14:solidFill>
          </w14:textFill>
        </w:rPr>
        <w:t>政府对基本建设程序、工程质量、资金使用管控的要求，切实履行监管职责，对项目建设的基建程序、工程质量、资金使用等情况进行对照检查，发现问题，及时报上述监管部门，并按监管部门整改要求抓落实，反馈整改结果；</w:t>
      </w:r>
    </w:p>
    <w:p w14:paraId="1BB64330">
      <w:pPr>
        <w:ind w:firstLine="560" w:firstLineChars="200"/>
        <w:rPr>
          <w:color w:val="000000" w:themeColor="text1"/>
          <w14:textFill>
            <w14:solidFill>
              <w14:schemeClr w14:val="tx1"/>
            </w14:solidFill>
          </w14:textFill>
        </w:rPr>
      </w:pPr>
      <w:r>
        <w:rPr>
          <w:rFonts w:ascii="仿宋" w:hAnsi="仿宋" w:cs="仿宋"/>
          <w:color w:val="000000" w:themeColor="text1"/>
          <w:szCs w:val="28"/>
          <w14:textFill>
            <w14:solidFill>
              <w14:schemeClr w14:val="tx1"/>
            </w14:solidFill>
          </w14:textFill>
        </w:rPr>
        <w:drawing>
          <wp:inline distT="0" distB="0" distL="114300" distR="114300">
            <wp:extent cx="126365" cy="130810"/>
            <wp:effectExtent l="0" t="0" r="6985" b="2540"/>
            <wp:docPr id="121" name="图片 94"/>
            <wp:cNvGraphicFramePr/>
            <a:graphic xmlns:a="http://schemas.openxmlformats.org/drawingml/2006/main">
              <a:graphicData uri="http://schemas.openxmlformats.org/drawingml/2006/picture">
                <pic:pic xmlns:pic="http://schemas.openxmlformats.org/drawingml/2006/picture">
                  <pic:nvPicPr>
                    <pic:cNvPr id="121" name="图片 94"/>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向项目公司推荐董事、监事和高级管理人员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若有</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的权利；</w:t>
      </w:r>
    </w:p>
    <w:p w14:paraId="3A3C40B6">
      <w:pPr>
        <w:ind w:firstLine="560" w:firstLineChars="200"/>
        <w:rPr>
          <w:color w:val="000000" w:themeColor="text1"/>
          <w14:textFill>
            <w14:solidFill>
              <w14:schemeClr w14:val="tx1"/>
            </w14:solidFill>
          </w14:textFill>
        </w:rPr>
      </w:pPr>
      <w:r>
        <w:rPr>
          <w:rFonts w:ascii="仿宋" w:hAnsi="仿宋" w:cs="仿宋"/>
          <w:color w:val="000000" w:themeColor="text1"/>
          <w:szCs w:val="28"/>
          <w14:textFill>
            <w14:solidFill>
              <w14:schemeClr w14:val="tx1"/>
            </w14:solidFill>
          </w14:textFill>
        </w:rPr>
        <w:drawing>
          <wp:inline distT="0" distB="0" distL="114300" distR="114300">
            <wp:extent cx="126365" cy="130810"/>
            <wp:effectExtent l="0" t="0" r="6985" b="2540"/>
            <wp:docPr id="122" name="图片 95"/>
            <wp:cNvGraphicFramePr/>
            <a:graphic xmlns:a="http://schemas.openxmlformats.org/drawingml/2006/main">
              <a:graphicData uri="http://schemas.openxmlformats.org/drawingml/2006/picture">
                <pic:pic xmlns:pic="http://schemas.openxmlformats.org/drawingml/2006/picture">
                  <pic:nvPicPr>
                    <pic:cNvPr id="122" name="图片 95"/>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委派股东代表参加项目公司股东会，通过推荐的董事参加董事会，通过推荐的监事行使监事职权，对所议事项进行表决的权利；</w:t>
      </w:r>
    </w:p>
    <w:p w14:paraId="348B496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79" name="图片 51"/>
            <wp:cNvGraphicFramePr/>
            <a:graphic xmlns:a="http://schemas.openxmlformats.org/drawingml/2006/main">
              <a:graphicData uri="http://schemas.openxmlformats.org/drawingml/2006/picture">
                <pic:pic xmlns:pic="http://schemas.openxmlformats.org/drawingml/2006/picture">
                  <pic:nvPicPr>
                    <pic:cNvPr id="79" name="图片 51"/>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对项目公司其他股东转让的股权享有优先购买权；</w:t>
      </w:r>
    </w:p>
    <w:p w14:paraId="5E8BD29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4" name="图片 52"/>
            <wp:cNvGraphicFramePr/>
            <a:graphic xmlns:a="http://schemas.openxmlformats.org/drawingml/2006/main">
              <a:graphicData uri="http://schemas.openxmlformats.org/drawingml/2006/picture">
                <pic:pic xmlns:pic="http://schemas.openxmlformats.org/drawingml/2006/picture">
                  <pic:nvPicPr>
                    <pic:cNvPr id="84" name="图片 52"/>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查阅、复制项目公司章程、股东会决议、董事会决议、财务会计报告，要求查阅公司会计账簿的权利；</w:t>
      </w:r>
    </w:p>
    <w:p w14:paraId="351B442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3" name="图片 53"/>
            <wp:cNvGraphicFramePr/>
            <a:graphic xmlns:a="http://schemas.openxmlformats.org/drawingml/2006/main">
              <a:graphicData uri="http://schemas.openxmlformats.org/drawingml/2006/picture">
                <pic:pic xmlns:pic="http://schemas.openxmlformats.org/drawingml/2006/picture">
                  <pic:nvPicPr>
                    <pic:cNvPr id="83" name="图片 53"/>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通过推荐至项目公司的董事、监事、高级管理人员行使相关职权对项目公司的生产经营活动，包括投资、进度、安全、质量、工期等事项进行调查了解的权利；</w:t>
      </w:r>
    </w:p>
    <w:p w14:paraId="7212365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0" name="图片 54"/>
            <wp:cNvGraphicFramePr/>
            <a:graphic xmlns:a="http://schemas.openxmlformats.org/drawingml/2006/main">
              <a:graphicData uri="http://schemas.openxmlformats.org/drawingml/2006/picture">
                <pic:pic xmlns:pic="http://schemas.openxmlformats.org/drawingml/2006/picture">
                  <pic:nvPicPr>
                    <pic:cNvPr id="80" name="图片 54"/>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项目建设期，可以安排监管人员对项目施工、采购等进行全过程监管，委派的人员成本费用纳入项目建设单位管理费；</w:t>
      </w:r>
    </w:p>
    <w:p w14:paraId="3FBBFEA6">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6" name="图片 55"/>
            <wp:cNvGraphicFramePr/>
            <a:graphic xmlns:a="http://schemas.openxmlformats.org/drawingml/2006/main">
              <a:graphicData uri="http://schemas.openxmlformats.org/drawingml/2006/picture">
                <pic:pic xmlns:pic="http://schemas.openxmlformats.org/drawingml/2006/picture">
                  <pic:nvPicPr>
                    <pic:cNvPr id="86" name="图片 55"/>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参与本项目建设工程的验收并提起验收和对验收提出意见的权利；</w:t>
      </w:r>
    </w:p>
    <w:p w14:paraId="2A250C2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7" name="图片 56"/>
            <wp:cNvGraphicFramePr/>
            <a:graphic xmlns:a="http://schemas.openxmlformats.org/drawingml/2006/main">
              <a:graphicData uri="http://schemas.openxmlformats.org/drawingml/2006/picture">
                <pic:pic xmlns:pic="http://schemas.openxmlformats.org/drawingml/2006/picture">
                  <pic:nvPicPr>
                    <pic:cNvPr id="87" name="图片 56"/>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提请项目公司董事会或监事聘请第三方中介机构开展审计的权利；</w:t>
      </w:r>
    </w:p>
    <w:p w14:paraId="6A4F486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5" name="图片 57"/>
            <wp:cNvGraphicFramePr/>
            <a:graphic xmlns:a="http://schemas.openxmlformats.org/drawingml/2006/main">
              <a:graphicData uri="http://schemas.openxmlformats.org/drawingml/2006/picture">
                <pic:pic xmlns:pic="http://schemas.openxmlformats.org/drawingml/2006/picture">
                  <pic:nvPicPr>
                    <pic:cNvPr id="85" name="图片 57"/>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督促乙方及项目公司认真全面履行本项目</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的权利；</w:t>
      </w:r>
    </w:p>
    <w:p w14:paraId="7E9A296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1" name="图片 58"/>
            <wp:cNvGraphicFramePr/>
            <a:graphic xmlns:a="http://schemas.openxmlformats.org/drawingml/2006/main">
              <a:graphicData uri="http://schemas.openxmlformats.org/drawingml/2006/picture">
                <pic:pic xmlns:pic="http://schemas.openxmlformats.org/drawingml/2006/picture">
                  <pic:nvPicPr>
                    <pic:cNvPr id="81" name="图片 58"/>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依照《股东协议》和项目公司章程的规定领取项目公司利润和其他形式的利益分配；</w:t>
      </w:r>
    </w:p>
    <w:p w14:paraId="7B3444C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2" name="图片 59"/>
            <wp:cNvGraphicFramePr/>
            <a:graphic xmlns:a="http://schemas.openxmlformats.org/drawingml/2006/main">
              <a:graphicData uri="http://schemas.openxmlformats.org/drawingml/2006/picture">
                <pic:pic xmlns:pic="http://schemas.openxmlformats.org/drawingml/2006/picture">
                  <pic:nvPicPr>
                    <pic:cNvPr id="82" name="图片 59"/>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法律、法规、《股东协议》及项目公司章程所赋予的其他权利。</w:t>
      </w:r>
    </w:p>
    <w:p w14:paraId="1F3EEAF2">
      <w:pPr>
        <w:numPr>
          <w:ilvl w:val="0"/>
          <w:numId w:val="77"/>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w:t>
      </w:r>
      <w:r>
        <w:rPr>
          <w:color w:val="000000" w:themeColor="text1"/>
          <w14:textFill>
            <w14:solidFill>
              <w14:schemeClr w14:val="tx1"/>
            </w14:solidFill>
          </w14:textFill>
        </w:rPr>
        <w:t>的义务</w:t>
      </w:r>
    </w:p>
    <w:p w14:paraId="4BC8145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78" name="图片 60"/>
            <wp:cNvGraphicFramePr/>
            <a:graphic xmlns:a="http://schemas.openxmlformats.org/drawingml/2006/main">
              <a:graphicData uri="http://schemas.openxmlformats.org/drawingml/2006/picture">
                <pic:pic xmlns:pic="http://schemas.openxmlformats.org/drawingml/2006/picture">
                  <pic:nvPicPr>
                    <pic:cNvPr id="78" name="图片 60"/>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协助项目公司从有关政府部门取得项目公司设立所需的所有批准和登记，并协助项目公司取得项目公司提供经营服务所需的所有批准、登记、许可和执照；</w:t>
      </w:r>
    </w:p>
    <w:p w14:paraId="55C2147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77" name="图片 61"/>
            <wp:cNvGraphicFramePr/>
            <a:graphic xmlns:a="http://schemas.openxmlformats.org/drawingml/2006/main">
              <a:graphicData uri="http://schemas.openxmlformats.org/drawingml/2006/picture">
                <pic:pic xmlns:pic="http://schemas.openxmlformats.org/drawingml/2006/picture">
                  <pic:nvPicPr>
                    <pic:cNvPr id="77" name="图片 61"/>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按照本协议的约定，承担项目公司注册资本的出资义务；</w:t>
      </w:r>
    </w:p>
    <w:p w14:paraId="1197190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76" name="图片 62"/>
            <wp:cNvGraphicFramePr/>
            <a:graphic xmlns:a="http://schemas.openxmlformats.org/drawingml/2006/main">
              <a:graphicData uri="http://schemas.openxmlformats.org/drawingml/2006/picture">
                <pic:pic xmlns:pic="http://schemas.openxmlformats.org/drawingml/2006/picture">
                  <pic:nvPicPr>
                    <pic:cNvPr id="76" name="图片 62"/>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根据法律、法规和</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的约定，协助项目公司进行融资；</w:t>
      </w:r>
    </w:p>
    <w:p w14:paraId="6CA8038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7" name="图片 63"/>
            <wp:cNvGraphicFramePr/>
            <a:graphic xmlns:a="http://schemas.openxmlformats.org/drawingml/2006/main">
              <a:graphicData uri="http://schemas.openxmlformats.org/drawingml/2006/picture">
                <pic:pic xmlns:pic="http://schemas.openxmlformats.org/drawingml/2006/picture">
                  <pic:nvPicPr>
                    <pic:cNvPr id="97" name="图片 63"/>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根据法律、法规和公司章程的规定，指派合适的人选出任项目公司董事、监事和高级管理人员；</w:t>
      </w:r>
    </w:p>
    <w:p w14:paraId="049D022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3" name="图片 63"/>
            <wp:cNvGraphicFramePr/>
            <a:graphic xmlns:a="http://schemas.openxmlformats.org/drawingml/2006/main">
              <a:graphicData uri="http://schemas.openxmlformats.org/drawingml/2006/picture">
                <pic:pic xmlns:pic="http://schemas.openxmlformats.org/drawingml/2006/picture">
                  <pic:nvPicPr>
                    <pic:cNvPr id="93" name="图片 63"/>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促使其委派的董事、监事和高级管理人员按照《公司章程》的相关规定，忠实履行职责，按期参加股东会、董事会等相关会议，并履行表决义务；</w:t>
      </w:r>
    </w:p>
    <w:p w14:paraId="16695CF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2" name="图片 64"/>
            <wp:cNvGraphicFramePr/>
            <a:graphic xmlns:a="http://schemas.openxmlformats.org/drawingml/2006/main">
              <a:graphicData uri="http://schemas.openxmlformats.org/drawingml/2006/picture">
                <pic:pic xmlns:pic="http://schemas.openxmlformats.org/drawingml/2006/picture">
                  <pic:nvPicPr>
                    <pic:cNvPr id="92" name="图片 64"/>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协助项目公司获得按法律可享有的所有税收优惠待遇；</w:t>
      </w:r>
    </w:p>
    <w:p w14:paraId="6320BA7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0" name="图片 65"/>
            <wp:cNvGraphicFramePr/>
            <a:graphic xmlns:a="http://schemas.openxmlformats.org/drawingml/2006/main">
              <a:graphicData uri="http://schemas.openxmlformats.org/drawingml/2006/picture">
                <pic:pic xmlns:pic="http://schemas.openxmlformats.org/drawingml/2006/picture">
                  <pic:nvPicPr>
                    <pic:cNvPr id="90" name="图片 65"/>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负责协助项目公司与有关政府部门就项目公司的投资、建设、经营等事宜进行沟通；</w:t>
      </w:r>
    </w:p>
    <w:p w14:paraId="799F14D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6" name="图片 66"/>
            <wp:cNvGraphicFramePr/>
            <a:graphic xmlns:a="http://schemas.openxmlformats.org/drawingml/2006/main">
              <a:graphicData uri="http://schemas.openxmlformats.org/drawingml/2006/picture">
                <pic:pic xmlns:pic="http://schemas.openxmlformats.org/drawingml/2006/picture">
                  <pic:nvPicPr>
                    <pic:cNvPr id="96" name="图片 66"/>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按照项目公司股东会及董事会的要求或委托，协助项目公司处理其它事宜；</w:t>
      </w:r>
    </w:p>
    <w:p w14:paraId="66EE73B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4" name="图片 67"/>
            <wp:cNvGraphicFramePr/>
            <a:graphic xmlns:a="http://schemas.openxmlformats.org/drawingml/2006/main">
              <a:graphicData uri="http://schemas.openxmlformats.org/drawingml/2006/picture">
                <pic:pic xmlns:pic="http://schemas.openxmlformats.org/drawingml/2006/picture">
                  <pic:nvPicPr>
                    <pic:cNvPr id="94" name="图片 67"/>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适用法律、法规及</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约定的其他义务。</w:t>
      </w:r>
    </w:p>
    <w:p w14:paraId="64DADD05">
      <w:pPr>
        <w:numPr>
          <w:ilvl w:val="0"/>
          <w:numId w:val="77"/>
        </w:numPr>
        <w:ind w:firstLine="56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方的权利</w:t>
      </w:r>
    </w:p>
    <w:p w14:paraId="3B5DEDF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8" name="图片 68"/>
            <wp:cNvGraphicFramePr/>
            <a:graphic xmlns:a="http://schemas.openxmlformats.org/drawingml/2006/main">
              <a:graphicData uri="http://schemas.openxmlformats.org/drawingml/2006/picture">
                <pic:pic xmlns:pic="http://schemas.openxmlformats.org/drawingml/2006/picture">
                  <pic:nvPicPr>
                    <pic:cNvPr id="88" name="图片 68"/>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向项目公司推荐董事、监事和高级管理人员的权利；</w:t>
      </w:r>
    </w:p>
    <w:p w14:paraId="1D7F252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5" name="图片 69"/>
            <wp:cNvGraphicFramePr/>
            <a:graphic xmlns:a="http://schemas.openxmlformats.org/drawingml/2006/main">
              <a:graphicData uri="http://schemas.openxmlformats.org/drawingml/2006/picture">
                <pic:pic xmlns:pic="http://schemas.openxmlformats.org/drawingml/2006/picture">
                  <pic:nvPicPr>
                    <pic:cNvPr id="95" name="图片 69"/>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委派股东代表参加项目公司股东会，通过推荐的董事参加董事会和推荐的监事行使监事职权，对所议事项进行表决的权利；</w:t>
      </w:r>
    </w:p>
    <w:p w14:paraId="31C2004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1" name="图片 70"/>
            <wp:cNvGraphicFramePr/>
            <a:graphic xmlns:a="http://schemas.openxmlformats.org/drawingml/2006/main">
              <a:graphicData uri="http://schemas.openxmlformats.org/drawingml/2006/picture">
                <pic:pic xmlns:pic="http://schemas.openxmlformats.org/drawingml/2006/picture">
                  <pic:nvPicPr>
                    <pic:cNvPr id="91" name="图片 70"/>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查阅、复制项目公司章程、股东会决议、董事会决议和财务会计报告，要求查阅公司会计账簿的权利；</w:t>
      </w:r>
    </w:p>
    <w:p w14:paraId="7A91377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89" name="图片 71"/>
            <wp:cNvGraphicFramePr/>
            <a:graphic xmlns:a="http://schemas.openxmlformats.org/drawingml/2006/main">
              <a:graphicData uri="http://schemas.openxmlformats.org/drawingml/2006/picture">
                <pic:pic xmlns:pic="http://schemas.openxmlformats.org/drawingml/2006/picture">
                  <pic:nvPicPr>
                    <pic:cNvPr id="89" name="图片 71"/>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通过推荐至项目公司的董事、高级管理人员行使相关职权对项目公司的生产经营活动，包括投资、进度、安全、质量、工期等事项进行调查了解的权利；</w:t>
      </w:r>
    </w:p>
    <w:p w14:paraId="300AFA9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0" name="图片 71"/>
            <wp:cNvGraphicFramePr/>
            <a:graphic xmlns:a="http://schemas.openxmlformats.org/drawingml/2006/main">
              <a:graphicData uri="http://schemas.openxmlformats.org/drawingml/2006/picture">
                <pic:pic xmlns:pic="http://schemas.openxmlformats.org/drawingml/2006/picture">
                  <pic:nvPicPr>
                    <pic:cNvPr id="110" name="图片 71"/>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参与本项目建设工程的验收并提起验收和对验收提出意见的权利；</w:t>
      </w:r>
    </w:p>
    <w:p w14:paraId="303BA18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8" name="图片 72"/>
            <wp:cNvGraphicFramePr/>
            <a:graphic xmlns:a="http://schemas.openxmlformats.org/drawingml/2006/main">
              <a:graphicData uri="http://schemas.openxmlformats.org/drawingml/2006/picture">
                <pic:pic xmlns:pic="http://schemas.openxmlformats.org/drawingml/2006/picture">
                  <pic:nvPicPr>
                    <pic:cNvPr id="108" name="图片 72"/>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对项目公司其他股东转让的股权享有优先购买权；</w:t>
      </w:r>
    </w:p>
    <w:p w14:paraId="7AB1C1B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9" name="图片 73"/>
            <wp:cNvGraphicFramePr/>
            <a:graphic xmlns:a="http://schemas.openxmlformats.org/drawingml/2006/main">
              <a:graphicData uri="http://schemas.openxmlformats.org/drawingml/2006/picture">
                <pic:pic xmlns:pic="http://schemas.openxmlformats.org/drawingml/2006/picture">
                  <pic:nvPicPr>
                    <pic:cNvPr id="109" name="图片 73"/>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提请项目公司董事会聘请第三方中介机构开展审计的权利；</w:t>
      </w:r>
    </w:p>
    <w:p w14:paraId="1061705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3" name="图片 74"/>
            <wp:cNvGraphicFramePr/>
            <a:graphic xmlns:a="http://schemas.openxmlformats.org/drawingml/2006/main">
              <a:graphicData uri="http://schemas.openxmlformats.org/drawingml/2006/picture">
                <pic:pic xmlns:pic="http://schemas.openxmlformats.org/drawingml/2006/picture">
                  <pic:nvPicPr>
                    <pic:cNvPr id="103" name="图片 74"/>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督促</w:t>
      </w:r>
      <w:r>
        <w:rPr>
          <w:rFonts w:hint="eastAsia"/>
          <w:color w:val="000000" w:themeColor="text1"/>
          <w14:textFill>
            <w14:solidFill>
              <w14:schemeClr w14:val="tx1"/>
            </w14:solidFill>
          </w14:textFill>
        </w:rPr>
        <w:t>甲方及</w:t>
      </w:r>
      <w:r>
        <w:rPr>
          <w:color w:val="000000" w:themeColor="text1"/>
          <w14:textFill>
            <w14:solidFill>
              <w14:schemeClr w14:val="tx1"/>
            </w14:solidFill>
          </w14:textFill>
        </w:rPr>
        <w:t>项目公司认真全面履行本项目的</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的权利；</w:t>
      </w:r>
    </w:p>
    <w:p w14:paraId="05203C0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2" name="图片 75"/>
            <wp:cNvGraphicFramePr/>
            <a:graphic xmlns:a="http://schemas.openxmlformats.org/drawingml/2006/main">
              <a:graphicData uri="http://schemas.openxmlformats.org/drawingml/2006/picture">
                <pic:pic xmlns:pic="http://schemas.openxmlformats.org/drawingml/2006/picture">
                  <pic:nvPicPr>
                    <pic:cNvPr id="102" name="图片 75"/>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依照本协议和项目公司章程的规定领取项目公司利润和其他形式的利益分配；</w:t>
      </w:r>
    </w:p>
    <w:p w14:paraId="40ABEB1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4" name="图片 76"/>
            <wp:cNvGraphicFramePr/>
            <a:graphic xmlns:a="http://schemas.openxmlformats.org/drawingml/2006/main">
              <a:graphicData uri="http://schemas.openxmlformats.org/drawingml/2006/picture">
                <pic:pic xmlns:pic="http://schemas.openxmlformats.org/drawingml/2006/picture">
                  <pic:nvPicPr>
                    <pic:cNvPr id="104" name="图片 76"/>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法律、法规、本协议及项目公司章程所赋予的其他权利。</w:t>
      </w:r>
    </w:p>
    <w:p w14:paraId="1E672960">
      <w:pPr>
        <w:numPr>
          <w:ilvl w:val="0"/>
          <w:numId w:val="77"/>
        </w:numPr>
        <w:ind w:firstLine="56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社会资本</w:t>
      </w:r>
      <w:r>
        <w:rPr>
          <w:color w:val="000000" w:themeColor="text1"/>
          <w14:textFill>
            <w14:solidFill>
              <w14:schemeClr w14:val="tx1"/>
            </w14:solidFill>
          </w14:textFill>
        </w:rPr>
        <w:t>方的义务</w:t>
      </w:r>
    </w:p>
    <w:p w14:paraId="76AB150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5" name="图片 77"/>
            <wp:cNvGraphicFramePr/>
            <a:graphic xmlns:a="http://schemas.openxmlformats.org/drawingml/2006/main">
              <a:graphicData uri="http://schemas.openxmlformats.org/drawingml/2006/picture">
                <pic:pic xmlns:pic="http://schemas.openxmlformats.org/drawingml/2006/picture">
                  <pic:nvPicPr>
                    <pic:cNvPr id="105" name="图片 77"/>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协助完成项目公司的设立，协助项目公司从有关政府部门取得项目公司设立和业务经营所需的所有批准和登记，并协助项目公司取得项目公司提供经营服务所需的所有批准、登记、许可和执照；</w:t>
      </w:r>
    </w:p>
    <w:p w14:paraId="1C53710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6" name="图片 78"/>
            <wp:cNvGraphicFramePr/>
            <a:graphic xmlns:a="http://schemas.openxmlformats.org/drawingml/2006/main">
              <a:graphicData uri="http://schemas.openxmlformats.org/drawingml/2006/picture">
                <pic:pic xmlns:pic="http://schemas.openxmlformats.org/drawingml/2006/picture">
                  <pic:nvPicPr>
                    <pic:cNvPr id="106" name="图片 78"/>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促使项目公司与</w:t>
      </w:r>
      <w:r>
        <w:rPr>
          <w:rFonts w:hint="eastAsia"/>
          <w:color w:val="000000" w:themeColor="text1"/>
          <w:lang w:eastAsia="zh-CN"/>
          <w14:textFill>
            <w14:solidFill>
              <w14:schemeClr w14:val="tx1"/>
            </w14:solidFill>
          </w14:textFill>
        </w:rPr>
        <w:t>实施机构</w:t>
      </w:r>
      <w:r>
        <w:rPr>
          <w:color w:val="000000" w:themeColor="text1"/>
          <w14:textFill>
            <w14:solidFill>
              <w14:schemeClr w14:val="tx1"/>
            </w14:solidFill>
          </w14:textFill>
        </w:rPr>
        <w:t>签订及履行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初步协议</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w:t>
      </w:r>
    </w:p>
    <w:p w14:paraId="4823391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7" name="图片 79"/>
            <wp:cNvGraphicFramePr/>
            <a:graphic xmlns:a="http://schemas.openxmlformats.org/drawingml/2006/main">
              <a:graphicData uri="http://schemas.openxmlformats.org/drawingml/2006/picture">
                <pic:pic xmlns:pic="http://schemas.openxmlformats.org/drawingml/2006/picture">
                  <pic:nvPicPr>
                    <pic:cNvPr id="107" name="图片 79"/>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按照《股东协议》的约定，承担项目公司注册资本的出资义务；</w:t>
      </w:r>
    </w:p>
    <w:p w14:paraId="0A52C9C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8" name="图片 80"/>
            <wp:cNvGraphicFramePr/>
            <a:graphic xmlns:a="http://schemas.openxmlformats.org/drawingml/2006/main">
              <a:graphicData uri="http://schemas.openxmlformats.org/drawingml/2006/picture">
                <pic:pic xmlns:pic="http://schemas.openxmlformats.org/drawingml/2006/picture">
                  <pic:nvPicPr>
                    <pic:cNvPr id="98" name="图片 80"/>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根据法律、法规和</w:t>
      </w:r>
      <w:r>
        <w:rPr>
          <w:rFonts w:hint="eastAsia"/>
          <w:color w:val="000000" w:themeColor="text1"/>
          <w14:textFill>
            <w14:solidFill>
              <w14:schemeClr w14:val="tx1"/>
            </w14:solidFill>
          </w14:textFill>
        </w:rPr>
        <w:t>投资合作协议</w:t>
      </w:r>
      <w:r>
        <w:rPr>
          <w:color w:val="000000" w:themeColor="text1"/>
          <w14:textFill>
            <w14:solidFill>
              <w14:schemeClr w14:val="tx1"/>
            </w14:solidFill>
          </w14:textFill>
        </w:rPr>
        <w:t>的约定，协助项目公司进行融资；</w:t>
      </w:r>
    </w:p>
    <w:p w14:paraId="2513B2A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99" name="图片 81"/>
            <wp:cNvGraphicFramePr/>
            <a:graphic xmlns:a="http://schemas.openxmlformats.org/drawingml/2006/main">
              <a:graphicData uri="http://schemas.openxmlformats.org/drawingml/2006/picture">
                <pic:pic xmlns:pic="http://schemas.openxmlformats.org/drawingml/2006/picture">
                  <pic:nvPicPr>
                    <pic:cNvPr id="99" name="图片 81"/>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根据法律、法规和公司章程的规定，委派合适的人选出任项目公司董事、监事；</w:t>
      </w:r>
    </w:p>
    <w:p w14:paraId="7FB8B46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0" name="图片 82"/>
            <wp:cNvGraphicFramePr/>
            <a:graphic xmlns:a="http://schemas.openxmlformats.org/drawingml/2006/main">
              <a:graphicData uri="http://schemas.openxmlformats.org/drawingml/2006/picture">
                <pic:pic xmlns:pic="http://schemas.openxmlformats.org/drawingml/2006/picture">
                  <pic:nvPicPr>
                    <pic:cNvPr id="100" name="图片 82"/>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促使其委派的董事、监事和高级管理人员按照《股东协议》的相关规定，忠实履行职责，按期参加股东会、董事会等相关会议，并履行表决义务；</w:t>
      </w:r>
    </w:p>
    <w:p w14:paraId="6BEF006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01" name="图片 83"/>
            <wp:cNvGraphicFramePr/>
            <a:graphic xmlns:a="http://schemas.openxmlformats.org/drawingml/2006/main">
              <a:graphicData uri="http://schemas.openxmlformats.org/drawingml/2006/picture">
                <pic:pic xmlns:pic="http://schemas.openxmlformats.org/drawingml/2006/picture">
                  <pic:nvPicPr>
                    <pic:cNvPr id="101" name="图片 83"/>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向项目公司提供先进的管理和经营方法及先进的技术且不得收取额外的费用；</w:t>
      </w:r>
    </w:p>
    <w:p w14:paraId="4AEE856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9" name="图片 84"/>
            <wp:cNvGraphicFramePr/>
            <a:graphic xmlns:a="http://schemas.openxmlformats.org/drawingml/2006/main">
              <a:graphicData uri="http://schemas.openxmlformats.org/drawingml/2006/picture">
                <pic:pic xmlns:pic="http://schemas.openxmlformats.org/drawingml/2006/picture">
                  <pic:nvPicPr>
                    <pic:cNvPr id="119" name="图片 84"/>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协助项目公司择优招聘经营所需要的经营管理人员、工程技术人员和其它人员；</w:t>
      </w:r>
    </w:p>
    <w:p w14:paraId="3B804CC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5" name="图片 85"/>
            <wp:cNvGraphicFramePr/>
            <a:graphic xmlns:a="http://schemas.openxmlformats.org/drawingml/2006/main">
              <a:graphicData uri="http://schemas.openxmlformats.org/drawingml/2006/picture">
                <pic:pic xmlns:pic="http://schemas.openxmlformats.org/drawingml/2006/picture">
                  <pic:nvPicPr>
                    <pic:cNvPr id="115" name="图片 85"/>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根据法律、法规和公司章程的规定，委派具有适当资质和管理经验的人员担任项目公司的高级管理人员，以满足项目公司管理运营的需要；</w:t>
      </w:r>
    </w:p>
    <w:p w14:paraId="440E6D5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6" name="图片 86"/>
            <wp:cNvGraphicFramePr/>
            <a:graphic xmlns:a="http://schemas.openxmlformats.org/drawingml/2006/main">
              <a:graphicData uri="http://schemas.openxmlformats.org/drawingml/2006/picture">
                <pic:pic xmlns:pic="http://schemas.openxmlformats.org/drawingml/2006/picture">
                  <pic:nvPicPr>
                    <pic:cNvPr id="116" name="图片 86"/>
                    <pic:cNvPicPr/>
                  </pic:nvPicPr>
                  <pic:blipFill>
                    <a:blip r:embed="rId36"/>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视项目公司需要，协助培训项目公司的各级管理人员和专业技术人员；</w:t>
      </w:r>
    </w:p>
    <w:p w14:paraId="7886B1BF">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8" name="图片 87"/>
            <wp:cNvGraphicFramePr/>
            <a:graphic xmlns:a="http://schemas.openxmlformats.org/drawingml/2006/main">
              <a:graphicData uri="http://schemas.openxmlformats.org/drawingml/2006/picture">
                <pic:pic xmlns:pic="http://schemas.openxmlformats.org/drawingml/2006/picture">
                  <pic:nvPicPr>
                    <pic:cNvPr id="118" name="图片 87"/>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协助项目公司办理本项目有关手续（包括但不限于工程报建和审批手续，以及获得、保持和延续本项目所必需的许可、备案登记和批准手续）；</w:t>
      </w:r>
    </w:p>
    <w:p w14:paraId="625DDD3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1" name="图片 88"/>
            <wp:cNvGraphicFramePr/>
            <a:graphic xmlns:a="http://schemas.openxmlformats.org/drawingml/2006/main">
              <a:graphicData uri="http://schemas.openxmlformats.org/drawingml/2006/picture">
                <pic:pic xmlns:pic="http://schemas.openxmlformats.org/drawingml/2006/picture">
                  <pic:nvPicPr>
                    <pic:cNvPr id="111" name="图片 88"/>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保障项目按施工工期计划实施，不得因资本金未到位、项目融资未到位等因素拖延施工进度；</w:t>
      </w:r>
    </w:p>
    <w:p w14:paraId="45FCE93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2" name="图片 89"/>
            <wp:cNvGraphicFramePr/>
            <a:graphic xmlns:a="http://schemas.openxmlformats.org/drawingml/2006/main">
              <a:graphicData uri="http://schemas.openxmlformats.org/drawingml/2006/picture">
                <pic:pic xmlns:pic="http://schemas.openxmlformats.org/drawingml/2006/picture">
                  <pic:nvPicPr>
                    <pic:cNvPr id="112" name="图片 89"/>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协助项目公司获得按法律、法规等可享有的所有税收优惠待遇；</w:t>
      </w:r>
    </w:p>
    <w:p w14:paraId="128ABE97">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3" name="图片 90"/>
            <wp:cNvGraphicFramePr/>
            <a:graphic xmlns:a="http://schemas.openxmlformats.org/drawingml/2006/main">
              <a:graphicData uri="http://schemas.openxmlformats.org/drawingml/2006/picture">
                <pic:pic xmlns:pic="http://schemas.openxmlformats.org/drawingml/2006/picture">
                  <pic:nvPicPr>
                    <pic:cNvPr id="113" name="图片 90"/>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负责协助项目公司与有关政府部门就项目公司的投资、建设、经营事宜进行沟通；</w:t>
      </w:r>
    </w:p>
    <w:p w14:paraId="6FBE6CC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4" name="图片 91"/>
            <wp:cNvGraphicFramePr/>
            <a:graphic xmlns:a="http://schemas.openxmlformats.org/drawingml/2006/main">
              <a:graphicData uri="http://schemas.openxmlformats.org/drawingml/2006/picture">
                <pic:pic xmlns:pic="http://schemas.openxmlformats.org/drawingml/2006/picture">
                  <pic:nvPicPr>
                    <pic:cNvPr id="114" name="图片 91"/>
                    <pic:cNvPicPr/>
                  </pic:nvPicPr>
                  <pic:blipFill>
                    <a:blip r:embed="rId34"/>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按照项目公司股东会及董事会的要求或委托，协助项目公司处理其他事宜；</w:t>
      </w:r>
    </w:p>
    <w:p w14:paraId="775F60BC">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6365" cy="130810"/>
            <wp:effectExtent l="0" t="0" r="6985" b="2540"/>
            <wp:docPr id="117" name="图片 92"/>
            <wp:cNvGraphicFramePr/>
            <a:graphic xmlns:a="http://schemas.openxmlformats.org/drawingml/2006/main">
              <a:graphicData uri="http://schemas.openxmlformats.org/drawingml/2006/picture">
                <pic:pic xmlns:pic="http://schemas.openxmlformats.org/drawingml/2006/picture">
                  <pic:nvPicPr>
                    <pic:cNvPr id="117" name="图片 92"/>
                    <pic:cNvPicPr/>
                  </pic:nvPicPr>
                  <pic:blipFill>
                    <a:blip r:embed="rId35"/>
                    <a:stretch>
                      <a:fillRect/>
                    </a:stretch>
                  </pic:blipFill>
                  <pic:spPr>
                    <a:xfrm>
                      <a:off x="0" y="0"/>
                      <a:ext cx="126365" cy="130810"/>
                    </a:xfrm>
                    <a:prstGeom prst="rect">
                      <a:avLst/>
                    </a:prstGeom>
                    <a:noFill/>
                    <a:ln>
                      <a:noFill/>
                    </a:ln>
                  </pic:spPr>
                </pic:pic>
              </a:graphicData>
            </a:graphic>
          </wp:inline>
        </w:drawing>
      </w:r>
      <w:r>
        <w:rPr>
          <w:color w:val="000000" w:themeColor="text1"/>
          <w14:textFill>
            <w14:solidFill>
              <w14:schemeClr w14:val="tx1"/>
            </w14:solidFill>
          </w14:textFill>
        </w:rPr>
        <w:t>适用法律、法规规定</w:t>
      </w:r>
      <w:r>
        <w:rPr>
          <w:rFonts w:hint="eastAsia"/>
          <w:color w:val="000000" w:themeColor="text1"/>
          <w14:textFill>
            <w14:solidFill>
              <w14:schemeClr w14:val="tx1"/>
            </w14:solidFill>
          </w14:textFill>
        </w:rPr>
        <w:t>及投资合作协议</w:t>
      </w:r>
      <w:r>
        <w:rPr>
          <w:color w:val="000000" w:themeColor="text1"/>
          <w14:textFill>
            <w14:solidFill>
              <w14:schemeClr w14:val="tx1"/>
            </w14:solidFill>
          </w14:textFill>
        </w:rPr>
        <w:t>约定的其他义务。</w:t>
      </w:r>
    </w:p>
    <w:p w14:paraId="210EFBB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8）治理结构</w:t>
      </w:r>
    </w:p>
    <w:p w14:paraId="6C2B5DC4">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项目公司按照《公司法》和公司章程的规定执行。项目公司设董事会，董事会为公司经营决策机构，董事会由</w:t>
      </w:r>
      <w:r>
        <w:rPr>
          <w:rFonts w:hint="eastAsia" w:ascii="仿宋" w:hAnsi="仿宋" w:cs="仿宋"/>
          <w:color w:val="000000" w:themeColor="text1"/>
          <w:spacing w:val="-3"/>
          <w:szCs w:val="28"/>
          <w:lang w:val="en-US" w:eastAsia="zh-CN"/>
          <w14:textFill>
            <w14:solidFill>
              <w14:schemeClr w14:val="tx1"/>
            </w14:solidFill>
          </w14:textFill>
        </w:rPr>
        <w:t>3</w:t>
      </w:r>
      <w:r>
        <w:rPr>
          <w:rFonts w:hint="eastAsia" w:ascii="仿宋" w:hAnsi="仿宋" w:cs="仿宋"/>
          <w:color w:val="000000" w:themeColor="text1"/>
          <w:spacing w:val="-3"/>
          <w:szCs w:val="28"/>
          <w14:textFill>
            <w14:solidFill>
              <w14:schemeClr w14:val="tx1"/>
            </w14:solidFill>
          </w14:textFill>
        </w:rPr>
        <w:t>名董事组成，其中政府方出资代表委派董事</w:t>
      </w:r>
      <w:r>
        <w:rPr>
          <w:rFonts w:hint="eastAsia" w:ascii="仿宋" w:hAnsi="仿宋" w:cs="仿宋"/>
          <w:color w:val="000000" w:themeColor="text1"/>
          <w:spacing w:val="-3"/>
          <w:szCs w:val="28"/>
          <w:lang w:val="en-US" w:eastAsia="zh-CN"/>
          <w14:textFill>
            <w14:solidFill>
              <w14:schemeClr w14:val="tx1"/>
            </w14:solidFill>
          </w14:textFill>
        </w:rPr>
        <w:t>1</w:t>
      </w:r>
      <w:r>
        <w:rPr>
          <w:rFonts w:hint="eastAsia" w:ascii="仿宋" w:hAnsi="仿宋" w:cs="仿宋"/>
          <w:color w:val="000000" w:themeColor="text1"/>
          <w:spacing w:val="-3"/>
          <w:szCs w:val="28"/>
          <w14:textFill>
            <w14:solidFill>
              <w14:schemeClr w14:val="tx1"/>
            </w14:solidFill>
          </w14:textFill>
        </w:rPr>
        <w:t>名</w:t>
      </w:r>
      <w:r>
        <w:rPr>
          <w:rFonts w:hint="eastAsia" w:ascii="仿宋" w:hAnsi="仿宋" w:cs="仿宋"/>
          <w:color w:val="000000" w:themeColor="text1"/>
          <w:spacing w:val="-3"/>
          <w:szCs w:val="28"/>
          <w:lang w:eastAsia="zh-CN"/>
          <w14:textFill>
            <w14:solidFill>
              <w14:schemeClr w14:val="tx1"/>
            </w14:solidFill>
          </w14:textFill>
        </w:rPr>
        <w:t>、</w:t>
      </w:r>
      <w:r>
        <w:rPr>
          <w:rFonts w:hint="eastAsia" w:ascii="仿宋" w:hAnsi="仿宋" w:cs="仿宋"/>
          <w:color w:val="000000" w:themeColor="text1"/>
          <w:spacing w:val="-3"/>
          <w:szCs w:val="28"/>
          <w14:textFill>
            <w14:solidFill>
              <w14:schemeClr w14:val="tx1"/>
            </w14:solidFill>
          </w14:textFill>
        </w:rPr>
        <w:t>社会资本方委派董事</w:t>
      </w:r>
      <w:r>
        <w:rPr>
          <w:rFonts w:hint="eastAsia" w:ascii="仿宋" w:hAnsi="仿宋" w:cs="仿宋"/>
          <w:color w:val="000000" w:themeColor="text1"/>
          <w:spacing w:val="-3"/>
          <w:szCs w:val="28"/>
          <w:lang w:val="en-US" w:eastAsia="zh-CN"/>
          <w14:textFill>
            <w14:solidFill>
              <w14:schemeClr w14:val="tx1"/>
            </w14:solidFill>
          </w14:textFill>
        </w:rPr>
        <w:t>2</w:t>
      </w:r>
      <w:r>
        <w:rPr>
          <w:rFonts w:hint="eastAsia" w:ascii="仿宋" w:hAnsi="仿宋" w:cs="仿宋"/>
          <w:color w:val="000000" w:themeColor="text1"/>
          <w:spacing w:val="-3"/>
          <w:szCs w:val="28"/>
          <w14:textFill>
            <w14:solidFill>
              <w14:schemeClr w14:val="tx1"/>
            </w14:solidFill>
          </w14:textFill>
        </w:rPr>
        <w:t>名</w:t>
      </w:r>
      <w:r>
        <w:rPr>
          <w:rFonts w:hint="eastAsia" w:ascii="仿宋" w:hAnsi="仿宋" w:cs="仿宋"/>
          <w:color w:val="000000" w:themeColor="text1"/>
          <w:spacing w:val="-3"/>
          <w:szCs w:val="28"/>
          <w:lang w:eastAsia="zh-CN"/>
          <w14:textFill>
            <w14:solidFill>
              <w14:schemeClr w14:val="tx1"/>
            </w14:solidFill>
          </w14:textFill>
        </w:rPr>
        <w:t>，</w:t>
      </w:r>
      <w:r>
        <w:rPr>
          <w:rFonts w:hint="eastAsia" w:ascii="仿宋" w:hAnsi="仿宋" w:cs="仿宋"/>
          <w:color w:val="000000" w:themeColor="text1"/>
          <w:spacing w:val="-3"/>
          <w:szCs w:val="28"/>
          <w14:textFill>
            <w14:solidFill>
              <w14:schemeClr w14:val="tx1"/>
            </w14:solidFill>
          </w14:textFill>
        </w:rPr>
        <w:t>设董事长1名，</w:t>
      </w:r>
      <w:r>
        <w:rPr>
          <w:rFonts w:hint="eastAsia" w:ascii="仿宋" w:hAnsi="仿宋" w:cs="仿宋"/>
          <w:color w:val="000000" w:themeColor="text1"/>
          <w:spacing w:val="-3"/>
          <w:szCs w:val="28"/>
          <w:lang w:val="en-US" w:eastAsia="zh-CN"/>
          <w14:textFill>
            <w14:solidFill>
              <w14:schemeClr w14:val="tx1"/>
            </w14:solidFill>
          </w14:textFill>
        </w:rPr>
        <w:t>由社会资本方委派</w:t>
      </w:r>
      <w:r>
        <w:rPr>
          <w:rFonts w:hint="eastAsia" w:ascii="仿宋" w:hAnsi="仿宋" w:cs="仿宋"/>
          <w:color w:val="000000" w:themeColor="text1"/>
          <w:spacing w:val="-3"/>
          <w:szCs w:val="28"/>
          <w14:textFill>
            <w14:solidFill>
              <w14:schemeClr w14:val="tx1"/>
            </w14:solidFill>
          </w14:textFill>
        </w:rPr>
        <w:t>。对于项目公司涉及公共利益及公共安全的</w:t>
      </w:r>
      <w:r>
        <w:rPr>
          <w:rFonts w:hint="eastAsia" w:ascii="仿宋" w:hAnsi="仿宋" w:cs="仿宋"/>
          <w:color w:val="000000" w:themeColor="text1"/>
          <w:spacing w:val="-3"/>
          <w:szCs w:val="28"/>
          <w:lang w:val="en-US" w:eastAsia="zh-CN"/>
          <w14:textFill>
            <w14:solidFill>
              <w14:schemeClr w14:val="tx1"/>
            </w14:solidFill>
          </w14:textFill>
        </w:rPr>
        <w:t>重大</w:t>
      </w:r>
      <w:r>
        <w:rPr>
          <w:rFonts w:hint="eastAsia" w:ascii="仿宋" w:hAnsi="仿宋" w:cs="仿宋"/>
          <w:color w:val="000000" w:themeColor="text1"/>
          <w:spacing w:val="-3"/>
          <w:szCs w:val="28"/>
          <w14:textFill>
            <w14:solidFill>
              <w14:schemeClr w14:val="tx1"/>
            </w14:solidFill>
          </w14:textFill>
        </w:rPr>
        <w:t>事项，政府方</w:t>
      </w:r>
      <w:r>
        <w:rPr>
          <w:rFonts w:hint="eastAsia" w:ascii="仿宋" w:hAnsi="仿宋" w:cs="仿宋"/>
          <w:color w:val="000000" w:themeColor="text1"/>
          <w:spacing w:val="-3"/>
          <w:szCs w:val="28"/>
          <w:lang w:val="en-US" w:eastAsia="zh-CN"/>
          <w14:textFill>
            <w14:solidFill>
              <w14:schemeClr w14:val="tx1"/>
            </w14:solidFill>
          </w14:textFill>
        </w:rPr>
        <w:t>股东</w:t>
      </w:r>
      <w:r>
        <w:rPr>
          <w:rFonts w:hint="eastAsia" w:ascii="仿宋" w:hAnsi="仿宋" w:cs="仿宋"/>
          <w:color w:val="000000" w:themeColor="text1"/>
          <w:spacing w:val="-3"/>
          <w:szCs w:val="28"/>
          <w14:textFill>
            <w14:solidFill>
              <w14:schemeClr w14:val="tx1"/>
            </w14:solidFill>
          </w14:textFill>
        </w:rPr>
        <w:t>有一票否决权。</w:t>
      </w:r>
    </w:p>
    <w:p w14:paraId="1C335F93">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项目公司设股东会，股东会由全体股东组成。股东会是公司的最高权力机构，股东会会议表决权行使按照公司章程规定。对于项目公司涉及公共利益及公共安全的</w:t>
      </w:r>
      <w:r>
        <w:rPr>
          <w:rFonts w:hint="eastAsia" w:ascii="仿宋" w:hAnsi="仿宋" w:cs="仿宋"/>
          <w:color w:val="000000" w:themeColor="text1"/>
          <w:spacing w:val="-3"/>
          <w:szCs w:val="28"/>
          <w:lang w:val="en-US" w:eastAsia="zh-CN"/>
          <w14:textFill>
            <w14:solidFill>
              <w14:schemeClr w14:val="tx1"/>
            </w14:solidFill>
          </w14:textFill>
        </w:rPr>
        <w:t>重大</w:t>
      </w:r>
      <w:r>
        <w:rPr>
          <w:rFonts w:hint="eastAsia" w:ascii="仿宋" w:hAnsi="仿宋" w:cs="仿宋"/>
          <w:color w:val="000000" w:themeColor="text1"/>
          <w:spacing w:val="-3"/>
          <w:szCs w:val="28"/>
          <w14:textFill>
            <w14:solidFill>
              <w14:schemeClr w14:val="tx1"/>
            </w14:solidFill>
          </w14:textFill>
        </w:rPr>
        <w:t>事项，政府方委派代表有一票否决权。</w:t>
      </w:r>
    </w:p>
    <w:p w14:paraId="630D895E">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项目公司设立经营管理机构，设总经理1名，由社会资本方委派人员担任，总经理是项目公司法定代表人。</w:t>
      </w:r>
      <w:r>
        <w:rPr>
          <w:rFonts w:hint="eastAsia" w:ascii="仿宋" w:hAnsi="仿宋" w:cs="仿宋"/>
          <w:color w:val="000000" w:themeColor="text1"/>
          <w:spacing w:val="-3"/>
          <w:szCs w:val="28"/>
          <w:lang w:val="en-US" w:eastAsia="zh-CN"/>
          <w14:textFill>
            <w14:solidFill>
              <w14:schemeClr w14:val="tx1"/>
            </w14:solidFill>
          </w14:textFill>
        </w:rPr>
        <w:t>设副总经理1名，由社会资本方进行委派担任。</w:t>
      </w:r>
      <w:r>
        <w:rPr>
          <w:rFonts w:hint="eastAsia" w:ascii="仿宋" w:hAnsi="仿宋" w:cs="仿宋"/>
          <w:color w:val="000000" w:themeColor="text1"/>
          <w:spacing w:val="-3"/>
          <w:szCs w:val="28"/>
          <w14:textFill>
            <w14:solidFill>
              <w14:schemeClr w14:val="tx1"/>
            </w14:solidFill>
          </w14:textFill>
        </w:rPr>
        <w:t>设财务总监1名，由社会资本方委派人员担任。如有需要，经董事会决议，可聘用其他管理人员。</w:t>
      </w:r>
    </w:p>
    <w:p w14:paraId="169FDF43">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项目公司设监事会</w:t>
      </w:r>
      <w:r>
        <w:rPr>
          <w:rFonts w:hint="eastAsia" w:ascii="仿宋" w:hAnsi="仿宋" w:cs="仿宋"/>
          <w:color w:val="000000" w:themeColor="text1"/>
          <w:spacing w:val="-3"/>
          <w:szCs w:val="28"/>
          <w:lang w:eastAsia="zh-CN"/>
          <w14:textFill>
            <w14:solidFill>
              <w14:schemeClr w14:val="tx1"/>
            </w14:solidFill>
          </w14:textFill>
        </w:rPr>
        <w:t>，</w:t>
      </w:r>
      <w:r>
        <w:rPr>
          <w:rFonts w:hint="eastAsia" w:ascii="仿宋" w:hAnsi="仿宋" w:cs="仿宋"/>
          <w:color w:val="000000" w:themeColor="text1"/>
          <w:spacing w:val="-3"/>
          <w:szCs w:val="28"/>
          <w:lang w:val="en-US" w:eastAsia="zh-CN"/>
          <w14:textFill>
            <w14:solidFill>
              <w14:schemeClr w14:val="tx1"/>
            </w14:solidFill>
          </w14:textFill>
        </w:rPr>
        <w:t>设监事3名，其中1名由社会资本方委派，1名由政府方出资代表委派，另外1名为职工代表，由职工选举产生，</w:t>
      </w:r>
      <w:r>
        <w:rPr>
          <w:rFonts w:hint="eastAsia" w:ascii="仿宋" w:hAnsi="仿宋" w:cs="仿宋"/>
          <w:color w:val="000000" w:themeColor="text1"/>
          <w:spacing w:val="-3"/>
          <w:szCs w:val="28"/>
          <w14:textFill>
            <w14:solidFill>
              <w14:schemeClr w14:val="tx1"/>
            </w14:solidFill>
          </w14:textFill>
        </w:rPr>
        <w:t>具体结构以公司章程为准。</w:t>
      </w:r>
    </w:p>
    <w:p w14:paraId="0E44CE28">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9）股权转让</w:t>
      </w:r>
    </w:p>
    <w:p w14:paraId="00A58C95">
      <w:pPr>
        <w:numPr>
          <w:ilvl w:val="0"/>
          <w:numId w:val="78"/>
        </w:num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股权转让限制</w:t>
      </w:r>
    </w:p>
    <w:p w14:paraId="6A0EDE82">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本项目</w:t>
      </w:r>
      <w:r>
        <w:rPr>
          <w:rFonts w:hint="eastAsia" w:ascii="仿宋" w:hAnsi="仿宋" w:cs="仿宋"/>
          <w:color w:val="000000" w:themeColor="text1"/>
          <w:spacing w:val="-3"/>
          <w:szCs w:val="28"/>
          <w:lang w:val="en-US" w:eastAsia="zh-CN"/>
          <w14:textFill>
            <w14:solidFill>
              <w14:schemeClr w14:val="tx1"/>
            </w14:solidFill>
          </w14:textFill>
        </w:rPr>
        <w:t>设置股权锁定期，即项目</w:t>
      </w:r>
      <w:r>
        <w:rPr>
          <w:rFonts w:hint="eastAsia" w:ascii="仿宋" w:hAnsi="仿宋" w:cs="仿宋"/>
          <w:color w:val="000000" w:themeColor="text1"/>
          <w:spacing w:val="-3"/>
          <w:szCs w:val="28"/>
          <w14:textFill>
            <w14:solidFill>
              <w14:schemeClr w14:val="tx1"/>
            </w14:solidFill>
          </w14:textFill>
        </w:rPr>
        <w:t>建设期及运营期前</w:t>
      </w:r>
      <w:r>
        <w:rPr>
          <w:rFonts w:hint="eastAsia" w:ascii="仿宋" w:hAnsi="仿宋" w:cs="仿宋"/>
          <w:color w:val="000000" w:themeColor="text1"/>
          <w:spacing w:val="-3"/>
          <w:szCs w:val="28"/>
          <w:lang w:val="en-US" w:eastAsia="zh-CN"/>
          <w14:textFill>
            <w14:solidFill>
              <w14:schemeClr w14:val="tx1"/>
            </w14:solidFill>
          </w14:textFill>
        </w:rPr>
        <w:t>三</w:t>
      </w:r>
      <w:r>
        <w:rPr>
          <w:rFonts w:hint="eastAsia" w:ascii="仿宋" w:hAnsi="仿宋" w:cs="仿宋"/>
          <w:color w:val="000000" w:themeColor="text1"/>
          <w:spacing w:val="-3"/>
          <w:szCs w:val="28"/>
          <w14:textFill>
            <w14:solidFill>
              <w14:schemeClr w14:val="tx1"/>
            </w14:solidFill>
          </w14:textFill>
        </w:rPr>
        <w:t>年内</w:t>
      </w:r>
      <w:r>
        <w:rPr>
          <w:rFonts w:hint="eastAsia" w:ascii="仿宋" w:hAnsi="仿宋" w:cs="仿宋"/>
          <w:color w:val="000000" w:themeColor="text1"/>
          <w:spacing w:val="-3"/>
          <w:szCs w:val="28"/>
          <w:lang w:eastAsia="zh-CN"/>
          <w14:textFill>
            <w14:solidFill>
              <w14:schemeClr w14:val="tx1"/>
            </w14:solidFill>
          </w14:textFill>
        </w:rPr>
        <w:t>，</w:t>
      </w:r>
      <w:r>
        <w:rPr>
          <w:rFonts w:hint="eastAsia" w:ascii="仿宋" w:hAnsi="仿宋" w:cs="仿宋"/>
          <w:color w:val="000000" w:themeColor="text1"/>
          <w:spacing w:val="-3"/>
          <w:szCs w:val="28"/>
          <w14:textFill>
            <w14:solidFill>
              <w14:schemeClr w14:val="tx1"/>
            </w14:solidFill>
          </w14:textFill>
        </w:rPr>
        <w:t>未经政府方书面同意，项目公司股东不得转让、抵押、质押、赠与、用于担保或以其他方式处置其在公司中的全部或部分股权。</w:t>
      </w:r>
    </w:p>
    <w:p w14:paraId="577B0BC6">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经政府方书面同意，项目公司发生股权变动时，政府方或者其他股东拥有优先受让权。</w:t>
      </w:r>
    </w:p>
    <w:p w14:paraId="267F9B79">
      <w:pPr>
        <w:numPr>
          <w:ilvl w:val="0"/>
          <w:numId w:val="78"/>
        </w:num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股权收购</w:t>
      </w:r>
    </w:p>
    <w:p w14:paraId="087C440E">
      <w:pPr>
        <w:ind w:firstLine="548" w:firstLineChars="200"/>
        <w:rPr>
          <w:rFonts w:hint="eastAsia" w:ascii="仿宋" w:hAnsi="仿宋" w:cs="仿宋"/>
          <w:color w:val="000000" w:themeColor="text1"/>
          <w:spacing w:val="-3"/>
          <w:szCs w:val="28"/>
          <w14:textFill>
            <w14:solidFill>
              <w14:schemeClr w14:val="tx1"/>
            </w14:solidFill>
          </w14:textFill>
        </w:rPr>
      </w:pPr>
      <w:r>
        <w:rPr>
          <w:rFonts w:hint="eastAsia" w:ascii="仿宋" w:hAnsi="仿宋" w:cs="仿宋"/>
          <w:color w:val="000000" w:themeColor="text1"/>
          <w:spacing w:val="-3"/>
          <w:szCs w:val="28"/>
          <w14:textFill>
            <w14:solidFill>
              <w14:schemeClr w14:val="tx1"/>
            </w14:solidFill>
          </w14:textFill>
        </w:rPr>
        <w:t>合作期内，政府方可在渡过股权锁定期后提出收购中标</w:t>
      </w:r>
      <w:r>
        <w:rPr>
          <w:rFonts w:hint="eastAsia" w:ascii="仿宋" w:hAnsi="仿宋" w:cs="仿宋"/>
          <w:color w:val="000000" w:themeColor="text1"/>
          <w:spacing w:val="-3"/>
          <w:szCs w:val="28"/>
          <w:lang w:eastAsia="zh-CN"/>
          <w14:textFill>
            <w14:solidFill>
              <w14:schemeClr w14:val="tx1"/>
            </w14:solidFill>
          </w14:textFill>
        </w:rPr>
        <w:t>社会资本</w:t>
      </w:r>
      <w:r>
        <w:rPr>
          <w:rFonts w:hint="eastAsia" w:ascii="仿宋" w:hAnsi="仿宋" w:cs="仿宋"/>
          <w:color w:val="000000" w:themeColor="text1"/>
          <w:spacing w:val="-3"/>
          <w:szCs w:val="28"/>
          <w14:textFill>
            <w14:solidFill>
              <w14:schemeClr w14:val="tx1"/>
            </w14:solidFill>
          </w14:textFill>
        </w:rPr>
        <w:t>在项目公司股份的要求，双方协商一致的情况下，由政府方支付合理收购价款对社会资本方股权进行收购。</w:t>
      </w:r>
    </w:p>
    <w:p w14:paraId="224B916C">
      <w:pPr>
        <w:ind w:firstLine="548" w:firstLineChars="200"/>
        <w:rPr>
          <w:rFonts w:hint="eastAsia" w:ascii="仿宋" w:hAnsi="仿宋" w:cs="仿宋"/>
          <w:color w:val="000000" w:themeColor="text1"/>
          <w:szCs w:val="28"/>
          <w14:textFill>
            <w14:solidFill>
              <w14:schemeClr w14:val="tx1"/>
            </w14:solidFill>
          </w14:textFill>
        </w:rPr>
      </w:pPr>
      <w:r>
        <w:rPr>
          <w:rFonts w:hint="eastAsia" w:eastAsia="宋体" w:cs="Times New Roman"/>
          <w:color w:val="000000" w:themeColor="text1"/>
          <w:spacing w:val="-3"/>
          <w:szCs w:val="28"/>
          <w14:textFill>
            <w14:solidFill>
              <w14:schemeClr w14:val="tx1"/>
            </w14:solidFill>
          </w14:textFill>
        </w:rPr>
        <w:t>10）</w:t>
      </w:r>
      <w:r>
        <w:rPr>
          <w:rFonts w:ascii="仿宋" w:hAnsi="仿宋" w:cs="仿宋"/>
          <w:color w:val="000000" w:themeColor="text1"/>
          <w:spacing w:val="-3"/>
          <w:szCs w:val="28"/>
          <w14:textFill>
            <w14:solidFill>
              <w14:schemeClr w14:val="tx1"/>
            </w14:solidFill>
          </w14:textFill>
        </w:rPr>
        <w:t>项目公司发展</w:t>
      </w:r>
    </w:p>
    <w:p w14:paraId="4816A8E3">
      <w:pPr>
        <w:ind w:firstLine="580" w:firstLineChars="200"/>
        <w:rPr>
          <w:rFonts w:hint="eastAsia" w:ascii="仿宋" w:hAnsi="仿宋" w:cs="仿宋"/>
          <w:color w:val="000000" w:themeColor="text1"/>
          <w:spacing w:val="-3"/>
          <w:szCs w:val="28"/>
          <w14:textFill>
            <w14:solidFill>
              <w14:schemeClr w14:val="tx1"/>
            </w14:solidFill>
          </w14:textFill>
        </w:rPr>
      </w:pPr>
      <w:r>
        <w:rPr>
          <w:rFonts w:ascii="仿宋" w:hAnsi="仿宋" w:cs="仿宋"/>
          <w:color w:val="000000" w:themeColor="text1"/>
          <w:spacing w:val="5"/>
          <w:szCs w:val="28"/>
          <w14:textFill>
            <w14:solidFill>
              <w14:schemeClr w14:val="tx1"/>
            </w14:solidFill>
          </w14:textFill>
        </w:rPr>
        <w:t>若项目运营期内包括财务以及项目公司治理等各项条件符合资产证</w:t>
      </w:r>
      <w:r>
        <w:rPr>
          <w:rFonts w:ascii="仿宋" w:hAnsi="仿宋" w:cs="仿宋"/>
          <w:color w:val="000000" w:themeColor="text1"/>
          <w:spacing w:val="-3"/>
          <w:szCs w:val="28"/>
          <w14:textFill>
            <w14:solidFill>
              <w14:schemeClr w14:val="tx1"/>
            </w14:solidFill>
          </w14:textFill>
        </w:rPr>
        <w:t>券化、</w:t>
      </w:r>
      <w:r>
        <w:rPr>
          <w:rFonts w:eastAsia="Times New Roman" w:cs="Times New Roman"/>
          <w:color w:val="000000" w:themeColor="text1"/>
          <w:spacing w:val="-3"/>
          <w:szCs w:val="28"/>
          <w14:textFill>
            <w14:solidFill>
              <w14:schemeClr w14:val="tx1"/>
            </w14:solidFill>
          </w14:textFill>
        </w:rPr>
        <w:t>RIETs</w:t>
      </w:r>
      <w:r>
        <w:rPr>
          <w:rFonts w:ascii="仿宋" w:hAnsi="仿宋" w:cs="仿宋"/>
          <w:color w:val="000000" w:themeColor="text1"/>
          <w:spacing w:val="-3"/>
          <w:szCs w:val="28"/>
          <w14:textFill>
            <w14:solidFill>
              <w14:schemeClr w14:val="tx1"/>
            </w14:solidFill>
          </w14:textFill>
        </w:rPr>
        <w:t>或上市要求，项目公司各股东方需积极配合</w:t>
      </w:r>
      <w:r>
        <w:rPr>
          <w:rFonts w:hint="eastAsia" w:ascii="仿宋" w:hAnsi="仿宋" w:cs="仿宋"/>
          <w:color w:val="000000" w:themeColor="text1"/>
          <w:spacing w:val="-3"/>
          <w:szCs w:val="28"/>
          <w14:textFill>
            <w14:solidFill>
              <w14:schemeClr w14:val="tx1"/>
            </w14:solidFill>
          </w14:textFill>
        </w:rPr>
        <w:t>政府方</w:t>
      </w:r>
      <w:r>
        <w:rPr>
          <w:rFonts w:ascii="仿宋" w:hAnsi="仿宋" w:cs="仿宋"/>
          <w:color w:val="000000" w:themeColor="text1"/>
          <w:spacing w:val="-3"/>
          <w:szCs w:val="28"/>
          <w14:textFill>
            <w14:solidFill>
              <w14:schemeClr w14:val="tx1"/>
            </w14:solidFill>
          </w14:textFill>
        </w:rPr>
        <w:t>协</w:t>
      </w:r>
      <w:r>
        <w:rPr>
          <w:rFonts w:ascii="仿宋" w:hAnsi="仿宋" w:cs="仿宋"/>
          <w:color w:val="000000" w:themeColor="text1"/>
          <w:spacing w:val="-4"/>
          <w:szCs w:val="28"/>
          <w14:textFill>
            <w14:solidFill>
              <w14:schemeClr w14:val="tx1"/>
            </w14:solidFill>
          </w14:textFill>
        </w:rPr>
        <w:t>助完成项目公司的相关筹备工作。</w:t>
      </w:r>
    </w:p>
    <w:p w14:paraId="2859DF56">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w:t>
      </w:r>
    </w:p>
    <w:p w14:paraId="1AD9BC0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项目实施机构需先与中标</w:t>
      </w:r>
      <w:r>
        <w:rPr>
          <w:rFonts w:hint="eastAsia"/>
          <w:color w:val="000000" w:themeColor="text1"/>
          <w:lang w:val="en-US" w:eastAsia="zh-CN"/>
          <w14:textFill>
            <w14:solidFill>
              <w14:schemeClr w14:val="tx1"/>
            </w14:solidFill>
          </w14:textFill>
        </w:rPr>
        <w:t>社会资本方</w:t>
      </w:r>
      <w:r>
        <w:rPr>
          <w:rFonts w:hint="eastAsia"/>
          <w:color w:val="000000" w:themeColor="text1"/>
          <w14:textFill>
            <w14:solidFill>
              <w14:schemeClr w14:val="tx1"/>
            </w14:solidFill>
          </w14:textFill>
        </w:rPr>
        <w:t>签订《</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》明确投资各方的权益，约定项目合作事宜及双方职责。《</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》主要包括以下内容：</w:t>
      </w:r>
    </w:p>
    <w:p w14:paraId="2E0F7E4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1）项目概况；</w:t>
      </w:r>
    </w:p>
    <w:p w14:paraId="236C884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2）政府方和特许经营者的权利和义务；</w:t>
      </w:r>
    </w:p>
    <w:p w14:paraId="15B4791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3）项目公司组建要求，包括成立时间、特许经营者出资额、注册资本、《公司章程》等；</w:t>
      </w:r>
    </w:p>
    <w:p w14:paraId="479524E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4）对签署《特许经营协议》的要求，包括签署时间、合作范围和期限、政府方对特许经营者的监督管理等；</w:t>
      </w:r>
    </w:p>
    <w:p w14:paraId="3FB6178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5）项目进度、质量、运营养护及安全目标；</w:t>
      </w:r>
    </w:p>
    <w:p w14:paraId="47B051F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6）项目公司股权转让与出资的变更；</w:t>
      </w:r>
    </w:p>
    <w:p w14:paraId="5244F04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7）履约担保；免责条款、违约条款；争议解决等。</w:t>
      </w:r>
    </w:p>
    <w:p w14:paraId="39C2D08D">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《特许经营协议》</w:t>
      </w:r>
    </w:p>
    <w:p w14:paraId="01C7754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关于规范实施政府和社会资本合作新机制的指导意见》（国办函〔2023〕115号）规定“项目实施机构与特许经营者应在法律地位平等、权利义务对等的基础上签订特许经营协议。需成立项目公司的，项目实施机构应当与特许经营者签订协议，约定其在规定期限内成立项目公司，并与项目公司签订特许经营协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》签署后，根据《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》要求成立项目公司。项目实施机构与项目公司签署《特许经营协议》，授予项目公司</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，由项目公司负责整个项目的投融资、设计、建设、运营、维护等工作，并获得项目收费经营权。</w:t>
      </w:r>
    </w:p>
    <w:p w14:paraId="5BEA3C1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根据《基础设施和公用事业特许经营管理办法》（2024年修订），特许经营协议主要包括以下内容：</w:t>
      </w:r>
    </w:p>
    <w:p w14:paraId="44112E41">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项目名称、内容；</w:t>
      </w:r>
    </w:p>
    <w:p w14:paraId="62285EE9">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特许经营方式、区域、范围和期限；</w:t>
      </w:r>
    </w:p>
    <w:p w14:paraId="41CDEEAE">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如成立项目公司，明确项目公司的经营范围、注册资本、股东出资方式、出资比例、股权转让等；</w:t>
      </w:r>
    </w:p>
    <w:p w14:paraId="144A617B">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所提供产品或者服务的数量、质量和标准；</w:t>
      </w:r>
    </w:p>
    <w:p w14:paraId="048A5E1D">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特许经营项目建设、运营期间的资产权属，以及相应的维护和更新改造；</w:t>
      </w:r>
    </w:p>
    <w:p w14:paraId="4B493B60">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监测评估；</w:t>
      </w:r>
    </w:p>
    <w:p w14:paraId="5377BE98">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投融资期限和方式；</w:t>
      </w:r>
    </w:p>
    <w:p w14:paraId="33D7BC90">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收益取得方式，价格和收费标准的确定方法以及调整程序；</w:t>
      </w:r>
    </w:p>
    <w:p w14:paraId="7669B700">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履约担保；</w:t>
      </w:r>
    </w:p>
    <w:p w14:paraId="509E8145">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特许经营期内的风险分担；</w:t>
      </w:r>
    </w:p>
    <w:p w14:paraId="6BD22116">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因法律法规、标准规范、国家政策等管理要求调整变化对特许经营者提出的相应要求，以及成本承担方式；</w:t>
      </w:r>
    </w:p>
    <w:p w14:paraId="774C2DD8">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政府承诺和保障；</w:t>
      </w:r>
    </w:p>
    <w:p w14:paraId="4087A431">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应急预案和临时接管预案；</w:t>
      </w:r>
    </w:p>
    <w:p w14:paraId="2EB2B4DB">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特许经营期限届满后，项目及资产移交方式、程序和要求等；</w:t>
      </w:r>
    </w:p>
    <w:p w14:paraId="18D11339">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实施环境变化、重大技术变化、市场价格重大变化等协议变更情形，提前终止及补偿；</w:t>
      </w:r>
    </w:p>
    <w:p w14:paraId="27DB2722">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违约责任；</w:t>
      </w:r>
    </w:p>
    <w:p w14:paraId="1D790A63">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争议解决方式；</w:t>
      </w:r>
    </w:p>
    <w:p w14:paraId="479032EF">
      <w:pPr>
        <w:numPr>
          <w:ilvl w:val="0"/>
          <w:numId w:val="79"/>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需要明确的其他事项。</w:t>
      </w:r>
    </w:p>
    <w:p w14:paraId="01FED2CB">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《融资合同》</w:t>
      </w:r>
    </w:p>
    <w:p w14:paraId="27E972A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融资合同》包括项目公司与融资方签订的项目贷款合同、担保人就项目贷款与融资方签订的担保合同等多个合同。其中，项目贷款合同是最主要的融资合同，主要包括以下条款：陈述与保证、前提条件、偿还贷款、抵销、违约、适用法律与争议解决等。同时，出于贷款安全性的考虑，融资方往往要求项目公司以其财产或其他权益作为抵押或质押，或由其母公司提供某种形式的担保，这些融资保障措施通常会在担保合同、直接介入协议等协议中予以具体体现。</w:t>
      </w:r>
    </w:p>
    <w:p w14:paraId="41E0B11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为实现对项目公司融资的有效监管，项目公司制定融资方案时需经董事会审议通过。融资文件指与项目融资相关的法律文件，包括但不限于融资合同、担保合同（如有）和其他文件。</w:t>
      </w:r>
    </w:p>
    <w:p w14:paraId="63F674DA">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《保险合同》</w:t>
      </w:r>
    </w:p>
    <w:p w14:paraId="00EDC39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资金规模大、生命周期长，负责项目实施的项目公司及其他相关参与方需要对项目建设、运营等不同阶段的不同类型的风险分别进行投保。通常可能涉及的保险种类包括财产险（设备、设施及附属建筑物）、建筑安装工程一切险、针对间接损失的保险、第三方责任险等。</w:t>
      </w:r>
    </w:p>
    <w:p w14:paraId="3C742229">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《相关履约合同》</w:t>
      </w:r>
    </w:p>
    <w:p w14:paraId="4E4F573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1）《工程承包合同》</w:t>
      </w:r>
    </w:p>
    <w:p w14:paraId="54D2840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一般只作为融资主体和项目管理者而存在，本身不一定具备自行采购、建设项目的条件（如项目公司具备相应条件则可依据相关法律法规自行实施），因此可能会将部分或全部采购、建设工作委托给工程承包商，签署《工程承包合同》。项目公司可以与单一承包商签署《总承包合同》，也可以分别与不同承包商签署合同。承包商的选择要遵循相关法律法规的规定，并论证或评估业主、承包人、管理机构之间及与本项目特点的适配性（工程技术、管理人员的质量、数量、资质、架构），并按此论证或评估执行。由于《工程承包合同》的履行情况往往直接影响《特许经营协议》的履行，进而影响项目贷款偿还和收益情况。因此，为了有效转移项目建设期间的风险，项目公司通常会将工程费用超支、工期延误、工程质量不合格等风险全部转移给承包商。此外，工程承包合同中通常还会包括履约担保和违约金条款，进一步约束承包商履行合同义务。</w:t>
      </w:r>
    </w:p>
    <w:p w14:paraId="2B1F8AE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2）《运营服务合同》</w:t>
      </w:r>
    </w:p>
    <w:p w14:paraId="741FDC7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特许经营项目运营内容和项目公司管理能力的不同，项目公司有时会考虑将项目全部或部分的运营和维护事务外包给有经验的运营商，并与其签署运营服务合同。但《特许经营协议》中约定项目公司的运营和维护义务并不因项目公司将全部或部分运营管理及维护事务分包给其他运营商实施而豁免或解除。</w:t>
      </w:r>
    </w:p>
    <w:p w14:paraId="055A7FD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3）《采购供应合同》</w:t>
      </w:r>
    </w:p>
    <w:p w14:paraId="7BE6A86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特许经营项目在建设期对材料设备的需求量较大、原料成本在整个项目运营成本中占比较大，同时受价格波动、市场供给不足等影响，又无法保证能够随时在公开市场上以平稳价格获取，继而可能会影响整个项目的投资控制。因此，为了防控材料设备供应风险，项目公司通常会与材料设备的供应商签署供应合同，并且约定一个相对稳定的价格。在供应合同中，一般会包括以下条款：交货地点和供货期限、供货要求和价格、质量标准和验收、结算和支付、合同双方的权利义务、违约责任、不可抗力、争议解决等。</w:t>
      </w:r>
    </w:p>
    <w:p w14:paraId="5AD66C3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4）《咨询服务合同》</w:t>
      </w:r>
    </w:p>
    <w:p w14:paraId="6F01CE2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本特许经营项目中涉及的投资、法律、财务、税务、绩效监测、技术检测、资产评估等咨询服务，项目公司可选择有相应能力或资质的咨询公司配合完成。</w:t>
      </w:r>
    </w:p>
    <w:p w14:paraId="334E57AE">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项目管理结构</w:t>
      </w:r>
    </w:p>
    <w:p w14:paraId="5F8679F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负责对项目的行政业务及项目运行情况进行综合管理和调度，包括维护、收费、监控、安全等各项工作。主要部门包括项目公司经理层，项目公司经理层下组建收费运营部、养护安全部、资产管理部、财务审计部、综合管理部等，并明确各部门的工作职责、工作制度，全面、高效地开展各项工作。</w:t>
      </w:r>
    </w:p>
    <w:p w14:paraId="4501C4B5">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资产形成与移交</w:t>
      </w:r>
    </w:p>
    <w:p w14:paraId="6FE434A2">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资产的形成</w:t>
      </w:r>
    </w:p>
    <w:p w14:paraId="20C425B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资产形成包括固定资产形成和无形资产形成。</w:t>
      </w:r>
    </w:p>
    <w:p w14:paraId="1FE872F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形成主要包括一座垃圾焚烧发电设施，设计总规模为日处理垃圾800吨，包含建设一座日处理800吨的生活垃圾焚烧发电厂，采用2×400吨/日的焚烧线，配置2×400吨/日机械炉排垃圾焚烧炉和1台18MW抽凝式汽轮发电机组。</w:t>
      </w:r>
    </w:p>
    <w:p w14:paraId="338E52A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无形资产形成主要包括该垃圾焚烧发电设施</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，以及本项目相关知识产权、品牌、商标等所形成的资产。</w:t>
      </w:r>
    </w:p>
    <w:p w14:paraId="7604C479">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资产</w:t>
      </w:r>
      <w:r>
        <w:rPr>
          <w:rFonts w:hint="eastAsia"/>
          <w:color w:val="000000" w:themeColor="text1"/>
          <w:lang w:val="en-US" w:eastAsia="zh-CN"/>
          <w14:textFill>
            <w14:solidFill>
              <w14:schemeClr w14:val="tx1"/>
            </w14:solidFill>
          </w14:textFill>
        </w:rPr>
        <w:t>移交</w:t>
      </w:r>
    </w:p>
    <w:p w14:paraId="2FF25BE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合作期期满，项目公司应向实施机构或政府指定机构无偿移交项目设施的所有权利和利益及相关技术资料。</w:t>
      </w:r>
    </w:p>
    <w:p w14:paraId="7FBD8A9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政府监管结构</w:t>
      </w:r>
    </w:p>
    <w:p w14:paraId="257B51A6">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监管体系</w:t>
      </w:r>
    </w:p>
    <w:p w14:paraId="06F8122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本项目的监管体系主要由以下三部分构成：</w:t>
      </w:r>
    </w:p>
    <w:p w14:paraId="75DDAC5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1）包头市城市管理局对本项目的履约监管，主要包括项目质量安全、成本费用、项目公司履约情况等；</w:t>
      </w:r>
    </w:p>
    <w:p w14:paraId="5428C88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2）包头市城市管理局协同相关行政主管部门（财政、发改、住建、审计、规划部门等）对本项目的行政监管；</w:t>
      </w:r>
    </w:p>
    <w:p w14:paraId="3BA22EA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3）社会公众对本项目的公众监管，主要方式包括信息、媒体披露。</w:t>
      </w:r>
    </w:p>
    <w:p w14:paraId="57E3777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整个监管体系可形成多方位的合力监管，确保公共利益得到充分保障。</w:t>
      </w:r>
    </w:p>
    <w:p w14:paraId="2AD08517">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项目公司股权变更</w:t>
      </w:r>
    </w:p>
    <w:p w14:paraId="1C8E8585">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项目公司注册资本的增加、减少、</w:t>
      </w:r>
      <w:r>
        <w:rPr>
          <w:rFonts w:hint="eastAsia"/>
          <w:color w:val="000000" w:themeColor="text1"/>
          <w:lang w:val="en-US" w:eastAsia="zh-CN"/>
          <w14:textFill>
            <w14:solidFill>
              <w14:schemeClr w14:val="tx1"/>
            </w14:solidFill>
          </w14:textFill>
        </w:rPr>
        <w:t>股权锁定期的</w:t>
      </w:r>
      <w:r>
        <w:rPr>
          <w:color w:val="000000" w:themeColor="text1"/>
          <w14:textFill>
            <w14:solidFill>
              <w14:schemeClr w14:val="tx1"/>
            </w14:solidFill>
          </w14:textFill>
        </w:rPr>
        <w:t>股东变更</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股权变更、</w:t>
      </w:r>
      <w:r>
        <w:rPr>
          <w:color w:val="000000" w:themeColor="text1"/>
          <w14:textFill>
            <w14:solidFill>
              <w14:schemeClr w14:val="tx1"/>
            </w14:solidFill>
          </w14:textFill>
        </w:rPr>
        <w:t>股权质押，项目公司名称、地址、收费权（应收账款）转让或质押、本项目资产、设施设备的转让、抵押等，应按国家有关规定执行，并需取得项目实施机构书面同意后方可实施，实施后相关情况应及时向项目实施机构报备。</w:t>
      </w:r>
    </w:p>
    <w:p w14:paraId="22A501B4">
      <w:pPr>
        <w:pStyle w:val="6"/>
        <w:numPr>
          <w:ilvl w:val="3"/>
          <w:numId w:val="64"/>
        </w:numPr>
        <w:spacing w:before="156" w:after="156"/>
        <w:rPr>
          <w:color w:val="000000" w:themeColor="text1"/>
          <w14:textFill>
            <w14:solidFill>
              <w14:schemeClr w14:val="tx1"/>
            </w14:solidFill>
          </w14:textFill>
        </w:rPr>
      </w:pPr>
      <w:bookmarkStart w:id="424" w:name="_Toc14870"/>
      <w:r>
        <w:rPr>
          <w:rFonts w:hint="eastAsia"/>
          <w:color w:val="000000" w:themeColor="text1"/>
          <w14:textFill>
            <w14:solidFill>
              <w14:schemeClr w14:val="tx1"/>
            </w14:solidFill>
          </w14:textFill>
        </w:rPr>
        <w:t>投融资结构</w:t>
      </w:r>
      <w:bookmarkEnd w:id="424"/>
    </w:p>
    <w:p w14:paraId="2F3F2DAF">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项目总投资</w:t>
      </w:r>
    </w:p>
    <w:p w14:paraId="02647F4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本项目总投资包含红线内所有设施及红线外相关配套设施，同时本方案所指总投资仅包含一期相关费用，不包含二期费用。根据</w:t>
      </w:r>
      <w:r>
        <w:rPr>
          <w:rFonts w:hint="eastAsia"/>
          <w:color w:val="000000" w:themeColor="text1"/>
          <w:lang w:eastAsia="zh-CN"/>
          <w14:textFill>
            <w14:solidFill>
              <w14:schemeClr w14:val="tx1"/>
            </w14:solidFill>
          </w14:textFill>
        </w:rPr>
        <w:t>可研单位</w:t>
      </w:r>
      <w:r>
        <w:rPr>
          <w:rFonts w:hint="eastAsia"/>
          <w:color w:val="000000" w:themeColor="text1"/>
          <w14:textFill>
            <w14:solidFill>
              <w14:schemeClr w14:val="tx1"/>
            </w14:solidFill>
          </w14:textFill>
        </w:rPr>
        <w:t>提供的技术文件，本项目</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工程</w:t>
      </w:r>
      <w:r>
        <w:rPr>
          <w:rFonts w:hint="eastAsia"/>
          <w:color w:val="000000" w:themeColor="text1"/>
          <w:lang w:val="en-US" w:eastAsia="zh-CN"/>
          <w14:textFill>
            <w14:solidFill>
              <w14:schemeClr w14:val="tx1"/>
            </w14:solidFill>
          </w14:textFill>
        </w:rPr>
        <w:t>22669.58</w:t>
      </w:r>
      <w:r>
        <w:rPr>
          <w:rFonts w:hint="eastAsia"/>
          <w:color w:val="000000" w:themeColor="text1"/>
          <w14:textFill>
            <w14:solidFill>
              <w14:schemeClr w14:val="tx1"/>
            </w14:solidFill>
          </w14:textFill>
        </w:rPr>
        <w:t>万元，设备购置费1</w:t>
      </w:r>
      <w:r>
        <w:rPr>
          <w:rFonts w:hint="eastAsia"/>
          <w:color w:val="000000" w:themeColor="text1"/>
          <w:lang w:val="en-US" w:eastAsia="zh-CN"/>
          <w14:textFill>
            <w14:solidFill>
              <w14:schemeClr w14:val="tx1"/>
            </w14:solidFill>
          </w14:textFill>
        </w:rPr>
        <w:t>7590.50</w:t>
      </w:r>
      <w:r>
        <w:rPr>
          <w:rFonts w:hint="eastAsia"/>
          <w:color w:val="000000" w:themeColor="text1"/>
          <w14:textFill>
            <w14:solidFill>
              <w14:schemeClr w14:val="tx1"/>
            </w14:solidFill>
          </w14:textFill>
        </w:rPr>
        <w:t>万元，安装工程5</w:t>
      </w:r>
      <w:r>
        <w:rPr>
          <w:rFonts w:hint="eastAsia"/>
          <w:color w:val="000000" w:themeColor="text1"/>
          <w:lang w:val="en-US" w:eastAsia="zh-CN"/>
          <w14:textFill>
            <w14:solidFill>
              <w14:schemeClr w14:val="tx1"/>
            </w14:solidFill>
          </w14:textFill>
        </w:rPr>
        <w:t>248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1万元，工程费合计4</w:t>
      </w:r>
      <w:r>
        <w:rPr>
          <w:rFonts w:hint="eastAsia"/>
          <w:color w:val="000000" w:themeColor="text1"/>
          <w:lang w:val="en-US" w:eastAsia="zh-CN"/>
          <w14:textFill>
            <w14:solidFill>
              <w14:schemeClr w14:val="tx1"/>
            </w14:solidFill>
          </w14:textFill>
        </w:rPr>
        <w:t>5508.19</w:t>
      </w:r>
      <w:r>
        <w:rPr>
          <w:rFonts w:hint="eastAsia"/>
          <w:color w:val="000000" w:themeColor="text1"/>
          <w14:textFill>
            <w14:solidFill>
              <w14:schemeClr w14:val="tx1"/>
            </w14:solidFill>
          </w14:textFill>
        </w:rPr>
        <w:t>万元（含3000万红线外配套工程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若届时红线外配套费用超支，则超支部分由项目公司负责筹集并计入项目总投资，按项目调价原则执行</w:t>
      </w:r>
      <w:r>
        <w:rPr>
          <w:rFonts w:hint="eastAsia"/>
          <w:color w:val="000000" w:themeColor="text1"/>
          <w14:textFill>
            <w14:solidFill>
              <w14:schemeClr w14:val="tx1"/>
            </w14:solidFill>
          </w14:textFill>
        </w:rPr>
        <w:t>）；工程建设其他费用</w:t>
      </w:r>
      <w:r>
        <w:rPr>
          <w:rFonts w:hint="eastAsia"/>
          <w:color w:val="000000" w:themeColor="text1"/>
          <w:lang w:val="en-US" w:eastAsia="zh-CN"/>
          <w14:textFill>
            <w14:solidFill>
              <w14:schemeClr w14:val="tx1"/>
            </w14:solidFill>
          </w14:textFill>
        </w:rPr>
        <w:t>5547.68</w:t>
      </w:r>
      <w:r>
        <w:rPr>
          <w:rFonts w:hint="eastAsia"/>
          <w:color w:val="000000" w:themeColor="text1"/>
          <w14:textFill>
            <w14:solidFill>
              <w14:schemeClr w14:val="tx1"/>
            </w14:solidFill>
          </w14:textFill>
        </w:rPr>
        <w:t>万元，</w:t>
      </w:r>
      <w:r>
        <w:rPr>
          <w:rFonts w:hint="eastAsia"/>
          <w:color w:val="000000" w:themeColor="text1"/>
          <w:lang w:val="en-US" w:eastAsia="zh-CN"/>
          <w14:textFill>
            <w14:solidFill>
              <w14:schemeClr w14:val="tx1"/>
            </w14:solidFill>
          </w14:textFill>
        </w:rPr>
        <w:t>工程</w:t>
      </w:r>
      <w:r>
        <w:rPr>
          <w:rFonts w:hint="eastAsia"/>
          <w:color w:val="000000" w:themeColor="text1"/>
          <w14:textFill>
            <w14:solidFill>
              <w14:schemeClr w14:val="tx1"/>
            </w14:solidFill>
          </w14:textFill>
        </w:rPr>
        <w:t>预备费</w:t>
      </w:r>
      <w:r>
        <w:rPr>
          <w:rFonts w:hint="eastAsia"/>
          <w:color w:val="000000" w:themeColor="text1"/>
          <w:lang w:val="en-US" w:eastAsia="zh-CN"/>
          <w14:textFill>
            <w14:solidFill>
              <w14:schemeClr w14:val="tx1"/>
            </w14:solidFill>
          </w14:textFill>
        </w:rPr>
        <w:t>2489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万元，工程静态投资</w:t>
      </w:r>
      <w:r>
        <w:rPr>
          <w:rFonts w:hint="eastAsia"/>
          <w:color w:val="000000" w:themeColor="text1"/>
          <w:lang w:val="en-US" w:eastAsia="zh-CN"/>
          <w14:textFill>
            <w14:solidFill>
              <w14:schemeClr w14:val="tx1"/>
            </w14:solidFill>
          </w14:textFill>
        </w:rPr>
        <w:t>53545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47</w:t>
      </w:r>
      <w:r>
        <w:rPr>
          <w:rFonts w:hint="eastAsia"/>
          <w:color w:val="000000" w:themeColor="text1"/>
          <w14:textFill>
            <w14:solidFill>
              <w14:schemeClr w14:val="tx1"/>
            </w14:solidFill>
          </w14:textFill>
        </w:rPr>
        <w:t>万元；铺底流动资金2</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4万元，</w:t>
      </w:r>
      <w:r>
        <w:rPr>
          <w:rFonts w:hint="eastAsia"/>
          <w:color w:val="000000" w:themeColor="text1"/>
          <w:lang w:val="en-US" w:eastAsia="zh-CN"/>
          <w14:textFill>
            <w14:solidFill>
              <w14:schemeClr w14:val="tx1"/>
            </w14:solidFill>
          </w14:textFill>
        </w:rPr>
        <w:t>重新计算</w:t>
      </w:r>
      <w:r>
        <w:rPr>
          <w:rFonts w:hint="eastAsia"/>
          <w:color w:val="000000" w:themeColor="text1"/>
          <w14:textFill>
            <w14:solidFill>
              <w14:schemeClr w14:val="tx1"/>
            </w14:solidFill>
          </w14:textFill>
        </w:rPr>
        <w:t>建设期利息14</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88</w:t>
      </w:r>
      <w:r>
        <w:rPr>
          <w:rFonts w:hint="eastAsia"/>
          <w:color w:val="000000" w:themeColor="text1"/>
          <w14:textFill>
            <w14:solidFill>
              <w14:schemeClr w14:val="tx1"/>
            </w14:solidFill>
          </w14:textFill>
        </w:rPr>
        <w:t>万元，项目总投资</w:t>
      </w:r>
      <w:r>
        <w:rPr>
          <w:rFonts w:hint="eastAsia"/>
          <w:color w:val="000000" w:themeColor="text1"/>
          <w:lang w:val="en-US" w:eastAsia="zh-CN"/>
          <w14:textFill>
            <w14:solidFill>
              <w14:schemeClr w14:val="tx1"/>
            </w14:solidFill>
          </w14:textFill>
        </w:rPr>
        <w:t>55209</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79</w:t>
      </w:r>
      <w:r>
        <w:rPr>
          <w:rFonts w:hint="eastAsia"/>
          <w:color w:val="000000" w:themeColor="text1"/>
          <w14:textFill>
            <w14:solidFill>
              <w14:schemeClr w14:val="tx1"/>
            </w14:solidFill>
          </w14:textFill>
        </w:rPr>
        <w:t>万元。项目总投资以项目可研、初步设计概算及施工图预算进行动态调整。</w:t>
      </w:r>
    </w:p>
    <w:p w14:paraId="12B7E9EB">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资金筹措方案</w:t>
      </w:r>
    </w:p>
    <w:p w14:paraId="34959DD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本项目资金筹措工作将根据项目的实际情况并结合包头市类似项目筹资经验开展。</w:t>
      </w:r>
    </w:p>
    <w:p w14:paraId="6AD5D151">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项目资本金</w:t>
      </w:r>
    </w:p>
    <w:p w14:paraId="27CC0CC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关于调整和完善固定资产投资项目资本金制度的通知》（国发〔2015〕51号）及《国务院关于加强固定资产投资项目资本金管理的通知》（国发〔2019〕26号），本项目资本金比例不低于总投资的20%。若项目公司原因、银行融资之规定、其他法律法规之要求造成最终项目总投资发生变化，项目公司股东应确保项目资本金比例不低于总投资的20%。</w:t>
      </w:r>
    </w:p>
    <w:p w14:paraId="5A1428C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强固定资产投资项目资本金管理的通知》（国发〔2019〕26号）规定，投资项目资本金作为项目总投资中由投资者认缴的出资额，对投资项目来说必须是非债务性资金，项目法人不得承担这部分资金的任何债务和利息；投资者可按其出资比例依法享有所有者权益，可转让其出资，但不得以任何方式抽回。</w:t>
      </w:r>
    </w:p>
    <w:p w14:paraId="526C5FD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其他建设资金</w:t>
      </w:r>
    </w:p>
    <w:p w14:paraId="22A65C6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项目资本金以外，其他建设资金为债务性资金。项目公司可以通过特许经营协议形成的应收账款向政策性银行、商业银行或其他金融机构进行质押筹措资金，并按照项目实施进度安排使用计划，确保其他建设资金及时足额到位。项目建成后，通过收取相关服务费来偿还贷款本息，并获得合理投资收益。项目公司自行承担其他建设资金的还本付息责任，政府方不对项目其他建设资金提供任何形式的担保。</w:t>
      </w:r>
    </w:p>
    <w:p w14:paraId="6333C152">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政府投资支持方式和比例</w:t>
      </w:r>
    </w:p>
    <w:p w14:paraId="538C41D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自2024年5月1日起施行的《基础设施和公用事业特许经营管理办法》第二十二条，“政府可以在严防新增地方政府隐性债务、符合法律法规和有关政策规定要求的前提下，按照一视同仁的原则，在项目建设期对使用者付费项目给予政府投资支持”。</w:t>
      </w:r>
    </w:p>
    <w:p w14:paraId="46C6301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本项目由包头市城市管理局授权包头市环卫产业有限责任公司作为政府方出资代表与中选社会资本在包头市设立项目公司，政府方与社会资本股权比例为5%：95%。政府方出资方式为财政出资。</w:t>
      </w:r>
    </w:p>
    <w:p w14:paraId="3C2FC68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该项目属于超长期国债、中央预算内资金支持范围，政府出资部分通过积极争取超长期国债、中央预算内投资资本金注入及部门预算安排等合规方式多渠道筹措。</w:t>
      </w:r>
    </w:p>
    <w:p w14:paraId="0FE049FE">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政府出资人代表对分红的要求</w:t>
      </w:r>
    </w:p>
    <w:p w14:paraId="2A834F0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本项目政府方出资代表以财政资金入股参与项目公司，占比5%，在</w:t>
      </w:r>
      <w:r>
        <w:rPr>
          <w:rFonts w:hint="eastAsia"/>
          <w:color w:val="000000" w:themeColor="text1"/>
          <w:lang w:val="en-US" w:eastAsia="zh-CN"/>
          <w14:textFill>
            <w14:solidFill>
              <w14:schemeClr w14:val="tx1"/>
            </w14:solidFill>
          </w14:textFill>
        </w:rPr>
        <w:t>股东</w:t>
      </w:r>
      <w:r>
        <w:rPr>
          <w:rFonts w:hint="eastAsia"/>
          <w:color w:val="000000" w:themeColor="text1"/>
          <w14:textFill>
            <w14:solidFill>
              <w14:schemeClr w14:val="tx1"/>
            </w14:solidFill>
          </w14:textFill>
        </w:rPr>
        <w:t>会上对于涉及、影响公共利益或公共安全的重大事项上有一票否决权，出资代表按照</w:t>
      </w:r>
      <w:r>
        <w:rPr>
          <w:rFonts w:hint="eastAsia"/>
          <w:color w:val="000000" w:themeColor="text1"/>
          <w:lang w:val="en-US" w:eastAsia="zh-CN"/>
          <w14:textFill>
            <w14:solidFill>
              <w14:schemeClr w14:val="tx1"/>
            </w14:solidFill>
          </w14:textFill>
        </w:rPr>
        <w:t>实缴</w:t>
      </w:r>
      <w:r>
        <w:rPr>
          <w:rFonts w:hint="eastAsia"/>
          <w:color w:val="000000" w:themeColor="text1"/>
          <w14:textFill>
            <w14:solidFill>
              <w14:schemeClr w14:val="tx1"/>
            </w14:solidFill>
          </w14:textFill>
        </w:rPr>
        <w:t>出资比例享受股权分红，在项目产生超额收益时，代表政府方享受超额利润分配，具体触发条件及分配比例由双方在股东协议中进行约定。</w:t>
      </w:r>
    </w:p>
    <w:p w14:paraId="0A7C3490">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剩余收益分配</w:t>
      </w:r>
    </w:p>
    <w:p w14:paraId="59F92A7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项目公司在清算后按股比进行剩余收益分配。</w:t>
      </w:r>
    </w:p>
    <w:p w14:paraId="46DDF862">
      <w:pPr>
        <w:pStyle w:val="5"/>
        <w:numPr>
          <w:ilvl w:val="2"/>
          <w:numId w:val="64"/>
        </w:numPr>
        <w:rPr>
          <w:color w:val="000000" w:themeColor="text1"/>
          <w14:textFill>
            <w14:solidFill>
              <w14:schemeClr w14:val="tx1"/>
            </w14:solidFill>
          </w14:textFill>
        </w:rPr>
      </w:pPr>
      <w:bookmarkStart w:id="425" w:name="_Toc19714"/>
      <w:bookmarkStart w:id="426" w:name="_Toc6849"/>
      <w:r>
        <w:rPr>
          <w:rFonts w:hint="eastAsia"/>
          <w:color w:val="000000" w:themeColor="text1"/>
          <w14:textFill>
            <w14:solidFill>
              <w14:schemeClr w14:val="tx1"/>
            </w14:solidFill>
          </w14:textFill>
        </w:rPr>
        <w:t>监督管理和运营评价</w:t>
      </w:r>
      <w:bookmarkEnd w:id="425"/>
      <w:bookmarkEnd w:id="426"/>
    </w:p>
    <w:p w14:paraId="4C8E9E71">
      <w:pPr>
        <w:pStyle w:val="6"/>
        <w:numPr>
          <w:ilvl w:val="3"/>
          <w:numId w:val="64"/>
        </w:numPr>
        <w:spacing w:before="156" w:after="156"/>
        <w:rPr>
          <w:color w:val="000000" w:themeColor="text1"/>
          <w14:textFill>
            <w14:solidFill>
              <w14:schemeClr w14:val="tx1"/>
            </w14:solidFill>
          </w14:textFill>
        </w:rPr>
      </w:pPr>
      <w:bookmarkStart w:id="427" w:name="_Toc844"/>
      <w:r>
        <w:rPr>
          <w:rFonts w:hint="eastAsia"/>
          <w:color w:val="000000" w:themeColor="text1"/>
          <w14:textFill>
            <w14:solidFill>
              <w14:schemeClr w14:val="tx1"/>
            </w14:solidFill>
          </w14:textFill>
        </w:rPr>
        <w:t>监督管理</w:t>
      </w:r>
      <w:bookmarkEnd w:id="427"/>
    </w:p>
    <w:p w14:paraId="166142E6">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监管方式</w:t>
      </w:r>
    </w:p>
    <w:p w14:paraId="2C502FF9">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行政监管</w:t>
      </w:r>
    </w:p>
    <w:p w14:paraId="1B4D22B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行政职能部门根据行政职责依法依规对本项目进行行政监管。行政监管主要是从政府职能的角度出发，对特许经营项目从项目准入阶段、项目建设阶段、项目运营阶段、项目移交阶段等进行全过程监督。包括投资管理程序、特许经营方案、特许经营者选择、合同签署及执行、项目建设、运营养护及服务、项目移交等。包头市城市管理局作为行业主管部门，其主要职责：</w:t>
      </w:r>
    </w:p>
    <w:p w14:paraId="7938EC3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1）贯彻执行有关法律法规、规章和规定，结合实际情况，制定具体管理制度和措施；</w:t>
      </w:r>
    </w:p>
    <w:p w14:paraId="17C9F25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2）履行行业管理职责，监督项目建设实施、运营管理和移交等活动；</w:t>
      </w:r>
    </w:p>
    <w:p w14:paraId="3963964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3）法律法规规定的其他职责</w:t>
      </w:r>
    </w:p>
    <w:p w14:paraId="3C88057E">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运营评价监管</w:t>
      </w:r>
    </w:p>
    <w:p w14:paraId="4947905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项目实施机构按照特许经营协议的约定，按规定开展运营评价。</w:t>
      </w:r>
    </w:p>
    <w:p w14:paraId="5979EE3D">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公众监督</w:t>
      </w:r>
    </w:p>
    <w:p w14:paraId="35B58BA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规范实施政府和社会资本合作新机制的指导意见》（国办函〔2023〕115号）要求，项目实施机构应将项目建设内容、特许经营中标结果、特许经营协议主要内容、公共产品和公共服务标准、运营评价结果等非涉密信息，依托全国投资项目在线审批监管平台及时向社会公开。特许经营者应将项目每季度运营情况、经审计的年度财务报表等信息，通过适当方式向社会公开。社会公众及项目利益相关方发现项目存在违法、违约情形或公共产品和服务不达标准的，可向政府职能部门提请监督检查。项目实施机构应将公众意见作为项目监测分析和运营评价的重要内容，加大公共监督力度。</w:t>
      </w:r>
    </w:p>
    <w:p w14:paraId="10BC4CCF">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监管内容</w:t>
      </w:r>
    </w:p>
    <w:p w14:paraId="22DB565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特许经营模式的特点以及行业的实际情况，政府监管重点为准入监管、前期工作监管、建设期质量监管、建设期造价监管、通行服务监管、安全监管、融资监管、价格监管、财务监管、退出监管、项目后评价等。</w:t>
      </w:r>
    </w:p>
    <w:p w14:paraId="538B7FAC">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准入监管</w:t>
      </w:r>
    </w:p>
    <w:p w14:paraId="29ADDB4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是政府监管的首要环节，主要包括项目识别监管和特许经营者的选择监管两个方面。</w:t>
      </w:r>
    </w:p>
    <w:p w14:paraId="0DC2EF71">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前期工作监管</w:t>
      </w:r>
    </w:p>
    <w:p w14:paraId="0A688D0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政府方按照规定对初步设计、施工图设计进行审批，确保项目建设标准、项目功能、设计质量和建设规模符合行业相关要求。</w:t>
      </w:r>
    </w:p>
    <w:p w14:paraId="67F8251B">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建设期质量监管</w:t>
      </w:r>
    </w:p>
    <w:p w14:paraId="35B4608A">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在建设阶段政府为确保项目工程质量，通过质量安全监督部门定期检查、项目公司委托第三方工程监理进行质量监理，对施工质量实施监管。最后通过竣工验收，确定建设目标的实现。</w:t>
      </w:r>
    </w:p>
    <w:p w14:paraId="63E85EE7">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建设期造价监管</w:t>
      </w:r>
    </w:p>
    <w:p w14:paraId="648DBCC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在建设阶段政府为确保项目投资控制在概算范围以内，通过造价管理部门根据相关监管实施细则进行定期督查，对项目概算执行情况实施监管，最后通过竣工验收，确保建设目标的实现。</w:t>
      </w:r>
    </w:p>
    <w:p w14:paraId="2C8FF79C">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运营服务监管</w:t>
      </w:r>
    </w:p>
    <w:p w14:paraId="2A1AE2E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项目运营阶段，主管部门为确保项目运营服务标准，通过定期服务质量检查等方式对项目实施监管，并对大中修方案进行审核。主管部门按照职能分工，对运营、养护、服务质量进行监督，可通过项目公司提供运营期履约保函的模式，确保养护、大中修、日常运营费用。</w:t>
      </w:r>
    </w:p>
    <w:p w14:paraId="64809455">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安全监管</w:t>
      </w:r>
    </w:p>
    <w:p w14:paraId="33C772D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管部门履行安全生产监督管理职责，定期对项目建设期和运营期安全进行监督管理，督促项目公司对可能存在的安全隐患进行及时消除，防止和减少安全事故，确保项目安全顺利运行。项目公司违反特许经营协议约定，不能使项目提供持续稳定安全服务，或危及国家安全和重大公共利益的，项目实施机构有权临时接管项目，直至启动项目提前终止程序。项目实施机构可指定合格机构实施临时接管，临时接管项目所产生的一切费用、风险由项目公司单独承担。</w:t>
      </w:r>
    </w:p>
    <w:p w14:paraId="058DACE0">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融资监管</w:t>
      </w:r>
    </w:p>
    <w:p w14:paraId="272DD02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项目公司按照协议约定保证项目融资款及时到位，包头市人民政府、项目实施机构及相关部门在建设过程中应加强资金监管，及时核查款项到账情况。</w:t>
      </w:r>
    </w:p>
    <w:p w14:paraId="2396A27D">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价格监管</w:t>
      </w:r>
    </w:p>
    <w:p w14:paraId="64E44BB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为保障社会公众利益，提高项目公司的运营服务效率和质量，政府应制定合理的定价机制，并在项目实施过程中对价格进行有效监管。</w:t>
      </w:r>
    </w:p>
    <w:p w14:paraId="253A3939">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财务监管</w:t>
      </w:r>
    </w:p>
    <w:p w14:paraId="45B215F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特许经营项目事关公共利益，政府要加强财务监管，包括成本监管、审计机制、年度报告及专项报告制度等。</w:t>
      </w:r>
    </w:p>
    <w:p w14:paraId="5C00E7BD">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退出监管</w:t>
      </w:r>
    </w:p>
    <w:p w14:paraId="29C71D0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在特许期结束后，项目实施机构应在移交时对项目的整体情况进行评估，并对项目公司的退出做好监督管理。</w:t>
      </w:r>
    </w:p>
    <w:p w14:paraId="56B2119A">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项目后评价</w:t>
      </w:r>
    </w:p>
    <w:p w14:paraId="085A1C4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用项目的实际成果和效益来分析评价项目的决策、管理和实施，通过经验和教训的总结，为项目运行和改善提出建议，并为新项目的决策提供参考。</w:t>
      </w:r>
    </w:p>
    <w:p w14:paraId="03FBE01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信息公开</w:t>
      </w:r>
    </w:p>
    <w:p w14:paraId="169147E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本项目将</w:t>
      </w:r>
      <w:r>
        <w:rPr>
          <w:rFonts w:hint="eastAsia"/>
          <w:color w:val="000000" w:themeColor="text1"/>
          <w:lang w:val="en-US" w:eastAsia="zh-CN"/>
          <w14:textFill>
            <w14:solidFill>
              <w14:schemeClr w14:val="tx1"/>
            </w14:solidFill>
          </w14:textFill>
        </w:rPr>
        <w:t>按照</w:t>
      </w:r>
      <w:r>
        <w:rPr>
          <w:rFonts w:hint="eastAsia"/>
          <w:color w:val="000000" w:themeColor="text1"/>
          <w14:textFill>
            <w14:solidFill>
              <w14:schemeClr w14:val="tx1"/>
            </w14:solidFill>
          </w14:textFill>
        </w:rPr>
        <w:t>特许经营方案的编制大纲要求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通过全国投资项目在线审批监管平台向社会公开披露相关信息</w:t>
      </w:r>
    </w:p>
    <w:p w14:paraId="4970C69F">
      <w:pPr>
        <w:pStyle w:val="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项目信息公开披露</w:t>
      </w:r>
    </w:p>
    <w:p w14:paraId="383AE27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内容要求：</w:t>
      </w:r>
    </w:p>
    <w:p w14:paraId="317CC5B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‌项目基本情况‌：包括项目名称、建设地点、建设规模、建设内容、总投资额、资金来源、建设周期等。</w:t>
      </w:r>
    </w:p>
    <w:p w14:paraId="05532626">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‌项目审批信息‌：项目立项、可行性研究报告、初步设计、环评、用地等审批文件的名称、文号、审批时间、审批机关等。</w:t>
      </w:r>
    </w:p>
    <w:p w14:paraId="2C0ABB3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‌特许经营信息‌：特许经营者的名称、资质、经营范围、特许经营期限、特许经营协议主要内容等。</w:t>
      </w:r>
    </w:p>
    <w:p w14:paraId="0ACCE2F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‌招投标信息‌：项目招投标过程、中标单位、中标金额、合同签订情况等。</w:t>
      </w:r>
    </w:p>
    <w:p w14:paraId="534879A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‌建设进度信息‌：项目开工、竣工时间，以及关键节点的完成情况。</w:t>
      </w:r>
    </w:p>
    <w:p w14:paraId="3133E9B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‌其他需要公开的信息‌：如项目对环境的影响、社会稳定风险评估结果、公众参与情况等。</w:t>
      </w:r>
    </w:p>
    <w:p w14:paraId="16045A1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披露要求：</w:t>
      </w:r>
    </w:p>
    <w:p w14:paraId="09719C6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项目信息应通过全国投资项目在线审批监管平台及时、准确、完整地公开。</w:t>
      </w:r>
    </w:p>
    <w:p w14:paraId="29F2B58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公开的信息应确保真实、可靠，不得有虚假、误导性内容。</w:t>
      </w:r>
    </w:p>
    <w:p w14:paraId="32F65E4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特许经营者应定期更新项目信息，确保信息的时效性。</w:t>
      </w:r>
    </w:p>
    <w:p w14:paraId="21EF83B5">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建设实施阶段的过程审计</w:t>
      </w:r>
    </w:p>
    <w:p w14:paraId="176125A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审计内容：</w:t>
      </w:r>
    </w:p>
    <w:p w14:paraId="06D224B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‌资金使用审计‌：审查项目资金的筹集、使用、管理情况，确保资金合规、有效使用。</w:t>
      </w:r>
    </w:p>
    <w:p w14:paraId="6E5EE4D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‌工程进度审计‌：检查项目是否按照计划进度进行，是否存在延误或提前完成的情况，并分析原因。</w:t>
      </w:r>
    </w:p>
    <w:p w14:paraId="626AFDD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‌工程质量审计‌：评估项目施工质量是否符合设计要求和行业标准，是否存在质量隐患。</w:t>
      </w:r>
    </w:p>
    <w:p w14:paraId="60C708F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‌合规性审计‌：检查项目建设过程中是否遵守相关法律法规、政策规定和特许经营协议。</w:t>
      </w:r>
    </w:p>
    <w:p w14:paraId="6056909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‌内部管理审计‌：审查特许经营者的内部管理制度、财务管理、项目管理等是否规范、有效。</w:t>
      </w:r>
    </w:p>
    <w:p w14:paraId="20D13F8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审计要求：</w:t>
      </w:r>
    </w:p>
    <w:p w14:paraId="44E19A9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过程审计应贯穿项目建设实施的全过程，确保项目合规、高效推进。</w:t>
      </w:r>
    </w:p>
    <w:p w14:paraId="43CB091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审计结果应及时向特许经营者、政府相关部门和社会公众反馈，并作为项目后续管理的重要依据。</w:t>
      </w:r>
    </w:p>
    <w:p w14:paraId="5A3E53DB">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运营阶段的审计</w:t>
      </w:r>
    </w:p>
    <w:p w14:paraId="5B60A1F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审计内容：</w:t>
      </w:r>
    </w:p>
    <w:p w14:paraId="16E95654">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‌运营效益审计‌：评估项目运营的经济效益、社会效益和环境效益是否达到预期目标。</w:t>
      </w:r>
    </w:p>
    <w:p w14:paraId="7E76EA8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‌运营成本审计‌：审查项目运营成本构成、成本控制和效益情况，提出优化建议。</w:t>
      </w:r>
    </w:p>
    <w:p w14:paraId="0F3D2319">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‌服务质量审计‌：检查项目提供的服务是否满足特许经营协议约定的标准和要求。</w:t>
      </w:r>
    </w:p>
    <w:p w14:paraId="7838E42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‌合规性审计‌：持续监督项目运营过程中是否遵守相关法律法规、政策规定和特许经营协议。</w:t>
      </w:r>
    </w:p>
    <w:p w14:paraId="447B22D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‌风险管理审计‌：评估项目运营中的风险状况，提出风险应对措施和建议。</w:t>
      </w:r>
    </w:p>
    <w:p w14:paraId="16F9B69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审计要求：</w:t>
      </w:r>
    </w:p>
    <w:p w14:paraId="33F8AF3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运营阶段的审计应定期进行，确保项目持续合规、高效运营。</w:t>
      </w:r>
    </w:p>
    <w:p w14:paraId="1827859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审计结果应作为特许经营者绩效评估、政府补贴调整、特许经营协议续签或终止的重要依据。</w:t>
      </w:r>
    </w:p>
    <w:p w14:paraId="267E0D95">
      <w:pPr>
        <w:pStyle w:val="6"/>
        <w:numPr>
          <w:ilvl w:val="3"/>
          <w:numId w:val="64"/>
        </w:numPr>
        <w:spacing w:before="156" w:after="156"/>
        <w:rPr>
          <w:color w:val="000000" w:themeColor="text1"/>
          <w14:textFill>
            <w14:solidFill>
              <w14:schemeClr w14:val="tx1"/>
            </w14:solidFill>
          </w14:textFill>
        </w:rPr>
      </w:pPr>
      <w:bookmarkStart w:id="428" w:name="_Toc5627"/>
      <w:r>
        <w:rPr>
          <w:rFonts w:hint="eastAsia"/>
          <w:color w:val="000000" w:themeColor="text1"/>
          <w14:textFill>
            <w14:solidFill>
              <w14:schemeClr w14:val="tx1"/>
            </w14:solidFill>
          </w14:textFill>
        </w:rPr>
        <w:t>运营评价</w:t>
      </w:r>
      <w:bookmarkEnd w:id="428"/>
    </w:p>
    <w:p w14:paraId="630F43FA">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评价主体</w:t>
      </w:r>
    </w:p>
    <w:p w14:paraId="68DCD8B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在特许经营期内，</w:t>
      </w:r>
      <w:r>
        <w:rPr>
          <w:rFonts w:hint="eastAsia"/>
          <w:color w:val="000000" w:themeColor="text1"/>
          <w:lang w:val="en-US" w:eastAsia="zh-CN"/>
          <w14:textFill>
            <w14:solidFill>
              <w14:schemeClr w14:val="tx1"/>
            </w14:solidFill>
          </w14:textFill>
        </w:rPr>
        <w:t>包头市城管局</w:t>
      </w:r>
      <w:r>
        <w:rPr>
          <w:rFonts w:hint="eastAsia"/>
          <w:color w:val="000000" w:themeColor="text1"/>
          <w14:textFill>
            <w14:solidFill>
              <w14:schemeClr w14:val="tx1"/>
            </w14:solidFill>
          </w14:textFill>
        </w:rPr>
        <w:t>经</w:t>
      </w:r>
      <w:r>
        <w:rPr>
          <w:rFonts w:hint="eastAsia"/>
          <w:color w:val="000000" w:themeColor="text1"/>
          <w:lang w:val="en-US" w:eastAsia="zh-CN"/>
          <w14:textFill>
            <w14:solidFill>
              <w14:schemeClr w14:val="tx1"/>
            </w14:solidFill>
          </w14:textFill>
        </w:rPr>
        <w:t>包头市</w:t>
      </w:r>
      <w:r>
        <w:rPr>
          <w:rFonts w:hint="eastAsia"/>
          <w:color w:val="000000" w:themeColor="text1"/>
          <w14:textFill>
            <w14:solidFill>
              <w14:schemeClr w14:val="tx1"/>
            </w14:solidFill>
          </w14:textFill>
        </w:rPr>
        <w:t>人民政府授权，全面行使本项目监管及</w:t>
      </w:r>
      <w:r>
        <w:rPr>
          <w:rFonts w:hint="eastAsia"/>
          <w:color w:val="000000" w:themeColor="text1"/>
          <w:lang w:val="en-US" w:eastAsia="zh-CN"/>
          <w14:textFill>
            <w14:solidFill>
              <w14:schemeClr w14:val="tx1"/>
            </w14:solidFill>
          </w14:textFill>
        </w:rPr>
        <w:t>评价</w:t>
      </w:r>
      <w:r>
        <w:rPr>
          <w:rFonts w:hint="eastAsia"/>
          <w:color w:val="000000" w:themeColor="text1"/>
          <w14:textFill>
            <w14:solidFill>
              <w14:schemeClr w14:val="tx1"/>
            </w14:solidFill>
          </w14:textFill>
        </w:rPr>
        <w:t>职能，亦可聘请第三方单位组织本项目评价考核工作。</w:t>
      </w:r>
    </w:p>
    <w:p w14:paraId="7C4C0D2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其他政府职能部门依照法定职权进行监管</w:t>
      </w:r>
      <w:r>
        <w:rPr>
          <w:rFonts w:hint="eastAsia"/>
          <w:color w:val="000000" w:themeColor="text1"/>
          <w:lang w:val="en-US" w:eastAsia="zh-CN"/>
          <w14:textFill>
            <w14:solidFill>
              <w14:schemeClr w14:val="tx1"/>
            </w14:solidFill>
          </w14:textFill>
        </w:rPr>
        <w:t>评价</w:t>
      </w:r>
      <w:r>
        <w:rPr>
          <w:rFonts w:hint="eastAsia"/>
          <w:color w:val="000000" w:themeColor="text1"/>
          <w14:textFill>
            <w14:solidFill>
              <w14:schemeClr w14:val="tx1"/>
            </w14:solidFill>
          </w14:textFill>
        </w:rPr>
        <w:t>。</w:t>
      </w:r>
    </w:p>
    <w:p w14:paraId="68EC2C3A">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评价对象</w:t>
      </w:r>
    </w:p>
    <w:p w14:paraId="050861D0">
      <w:pPr>
        <w:ind w:firstLine="56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评价</w:t>
      </w:r>
      <w:r>
        <w:rPr>
          <w:rFonts w:hint="eastAsia"/>
          <w:color w:val="000000" w:themeColor="text1"/>
          <w14:textFill>
            <w14:solidFill>
              <w14:schemeClr w14:val="tx1"/>
            </w14:solidFill>
          </w14:textFill>
        </w:rPr>
        <w:t>对象为项目公司。</w:t>
      </w:r>
    </w:p>
    <w:p w14:paraId="02FAE111">
      <w:pPr>
        <w:pStyle w:val="7"/>
        <w:ind w:firstLine="56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绩效目标</w:t>
      </w:r>
    </w:p>
    <w:p w14:paraId="0A75C564">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完成生活垃圾焚烧处理任务‌：按照特许经营协议和技术规范，项目需确保完成年度指定区域内生活垃圾的焚烧处理工作，实现垃圾的有效处理‌。</w:t>
      </w:r>
    </w:p>
    <w:p w14:paraId="385B35E8">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‌实现环保标准‌：在焚烧处理过程中，项目应严格遵守国家及地方的环保法规，确保烟气、灰渣、渗滤液等排放物达到环保标准，防止环境污染‌。</w:t>
      </w:r>
    </w:p>
    <w:p w14:paraId="23318E3D">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‌提高资源利用率‌：通过先进的焚烧技术，将生活垃圾转化为电能等可再生能源，提高资源的利用率，实现垃圾的资源化处理‌。</w:t>
      </w:r>
    </w:p>
    <w:p w14:paraId="51028428">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‌保障项目稳定运行‌：项目应确保焚烧发电设施的稳定运行，减少故障停机时间，提高设备的可靠性和发电效率，从而保障项目的持续、稳定运营‌。</w:t>
      </w:r>
    </w:p>
    <w:p w14:paraId="692E5C0D">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‌优化成本效益‌：在保障处理质量和环保标准的前提下，项目应合理控制运营成本，提高经济效益，实现项目的长期可持续发展。</w:t>
      </w:r>
    </w:p>
    <w:p w14:paraId="2C39BAAD">
      <w:pPr>
        <w:pStyle w:val="7"/>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评价内容</w:t>
      </w:r>
    </w:p>
    <w:p w14:paraId="7C78CB31">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本项目的评价体系包括建设期评价、运营期评价、移交期评价。</w:t>
      </w:r>
    </w:p>
    <w:p w14:paraId="57FF9069">
      <w:pPr>
        <w:pStyle w:val="8"/>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建设期评价</w:t>
      </w:r>
    </w:p>
    <w:p w14:paraId="7A340A60">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建设期评价内容包括工程质量、工程进度、工程安全、生态影响、社会影响、满意度、资金管理、档案管理、组织管理等方面。</w:t>
      </w:r>
    </w:p>
    <w:p w14:paraId="64E38497">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运营期评价</w:t>
      </w:r>
    </w:p>
    <w:p w14:paraId="5657D8BC">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运营期评价内容包括：焚烧发电厂运行与管理、环境保护、社会责任等方面。</w:t>
      </w:r>
    </w:p>
    <w:p w14:paraId="08C95CC9">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移交期评价</w:t>
      </w:r>
    </w:p>
    <w:p w14:paraId="5070450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移交期评价内容包括：移交资料的完整性、移交设施状况及移交进度等方面。</w:t>
      </w:r>
    </w:p>
    <w:p w14:paraId="61C1EDE8">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评价方式</w:t>
      </w:r>
    </w:p>
    <w:p w14:paraId="4310D024">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建设期评价</w:t>
      </w:r>
    </w:p>
    <w:p w14:paraId="56082C4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建设期评价实行过程管理，由实施机构会同相关单位按照本方案附件1：《绩效评价办法》在协议约定的建设期结束后2个月内进行最终考核，考核结果与建设履约担保挂钩。</w:t>
      </w:r>
    </w:p>
    <w:p w14:paraId="470F1399">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依据考核结果，对建设期保函进行相应扣款：</w:t>
      </w:r>
    </w:p>
    <w:p w14:paraId="22A3F511">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评价得分在80分及以上的，建设期履约保函不予扣款；</w:t>
      </w:r>
    </w:p>
    <w:p w14:paraId="1C1C84C2">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评价得分在75分（含）-80分之间的，扣除建设期履约保函金额的5%。</w:t>
      </w:r>
    </w:p>
    <w:p w14:paraId="608050F2">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评价得分在70分（含）-75分之间的，扣除建设期履约保函金额的20%。</w:t>
      </w:r>
    </w:p>
    <w:p w14:paraId="455E438A">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评价得分在60分（含）-70分之间的，扣除建设期履约保函金额的30%。</w:t>
      </w:r>
    </w:p>
    <w:p w14:paraId="3BE44E9A">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评价得分在60分以下的，扣除建设期履约保函金额的60%。</w:t>
      </w:r>
    </w:p>
    <w:p w14:paraId="23EE812B">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运营期评价</w:t>
      </w:r>
    </w:p>
    <w:p w14:paraId="63A6FD3A">
      <w:pPr>
        <w:keepNext w:val="0"/>
        <w:keepLines w:val="0"/>
        <w:widowControl w:val="0"/>
        <w:suppressLineNumbers w:val="0"/>
        <w:spacing w:before="0" w:beforeAutospacing="0" w:after="0" w:afterAutospacing="0" w:line="360" w:lineRule="auto"/>
        <w:ind w:left="0" w:right="0" w:firstLine="560" w:firstLineChars="200"/>
        <w:jc w:val="both"/>
        <w:rPr>
          <w:color w:val="000000"/>
          <w:lang w:val="en-US"/>
        </w:rPr>
      </w:pPr>
      <w:r>
        <w:rPr>
          <w:rFonts w:hint="eastAsia" w:ascii="Times New Roman" w:hAnsi="Times New Roman" w:eastAsia="仿宋" w:cs="仿宋"/>
          <w:color w:val="000000"/>
          <w:kern w:val="2"/>
          <w:sz w:val="28"/>
          <w:szCs w:val="22"/>
          <w:lang w:val="en-US" w:eastAsia="zh-CN" w:bidi="ar"/>
        </w:rPr>
        <w:t>运营期评价周期为每年评价一次，由实施机构自行或聘请第三方单位组织本项目运营期评价工作，评价结果与垃圾处置费支付挂钩。</w:t>
      </w:r>
    </w:p>
    <w:p w14:paraId="0DB65A4F">
      <w:pPr>
        <w:keepNext w:val="0"/>
        <w:keepLines w:val="0"/>
        <w:widowControl w:val="0"/>
        <w:suppressLineNumbers w:val="0"/>
        <w:spacing w:before="0" w:beforeAutospacing="0" w:after="0" w:afterAutospacing="0" w:line="360" w:lineRule="auto"/>
        <w:ind w:left="0" w:right="0" w:firstLine="560" w:firstLineChars="200"/>
        <w:jc w:val="both"/>
        <w:rPr>
          <w:color w:val="000000"/>
          <w:lang w:val="en-US"/>
        </w:rPr>
      </w:pPr>
      <w:r>
        <w:rPr>
          <w:rFonts w:hint="eastAsia" w:ascii="Times New Roman" w:hAnsi="Times New Roman" w:eastAsia="仿宋" w:cs="仿宋"/>
          <w:color w:val="000000"/>
          <w:kern w:val="2"/>
          <w:sz w:val="28"/>
          <w:szCs w:val="22"/>
          <w:lang w:val="en-US" w:eastAsia="zh-CN" w:bidi="ar"/>
        </w:rPr>
        <w:t>运营期乙方运营维护内容、运营期绩效考核标准和评分设置应以特许经营协议及其补充协议的约定为准。</w:t>
      </w:r>
    </w:p>
    <w:p w14:paraId="383F076F">
      <w:pPr>
        <w:keepNext w:val="0"/>
        <w:keepLines w:val="0"/>
        <w:widowControl w:val="0"/>
        <w:suppressLineNumbers w:val="0"/>
        <w:spacing w:before="0" w:beforeAutospacing="0" w:after="0" w:afterAutospacing="0" w:line="360" w:lineRule="auto"/>
        <w:ind w:left="0" w:right="0" w:firstLine="560" w:firstLineChars="200"/>
        <w:jc w:val="both"/>
        <w:rPr>
          <w:color w:val="000000"/>
          <w:lang w:val="en-US"/>
        </w:rPr>
      </w:pPr>
      <w:r>
        <w:rPr>
          <w:rFonts w:hint="eastAsia" w:ascii="Times New Roman" w:hAnsi="Times New Roman" w:eastAsia="仿宋" w:cs="仿宋"/>
          <w:color w:val="000000"/>
          <w:kern w:val="2"/>
          <w:sz w:val="28"/>
          <w:szCs w:val="22"/>
          <w:lang w:val="en-US" w:eastAsia="zh-CN" w:bidi="ar"/>
        </w:rPr>
        <w:t>运营期绩效考核评分计算如下：</w:t>
      </w:r>
    </w:p>
    <w:p w14:paraId="744626CC">
      <w:pPr>
        <w:keepNext w:val="0"/>
        <w:keepLines w:val="0"/>
        <w:widowControl w:val="0"/>
        <w:suppressLineNumbers w:val="0"/>
        <w:spacing w:before="156" w:beforeAutospacing="0" w:after="156" w:afterAutospacing="0" w:line="360" w:lineRule="auto"/>
        <w:ind w:left="0" w:right="0" w:firstLine="480"/>
        <w:jc w:val="center"/>
        <w:rPr>
          <w:rFonts w:eastAsia="方正仿宋"/>
          <w:sz w:val="24"/>
          <w:szCs w:val="24"/>
          <w:lang w:val="en-US"/>
        </w:rPr>
      </w:pPr>
      <w:r>
        <w:rPr>
          <w:rFonts w:hint="default" w:ascii="Times New Roman" w:hAnsi="Times New Roman" w:eastAsia="方正仿宋" w:cs="Times New Roman"/>
          <w:kern w:val="2"/>
          <w:sz w:val="24"/>
          <w:szCs w:val="24"/>
          <w:lang w:val="en-US" w:eastAsia="zh-CN" w:bidi="ar"/>
        </w:rPr>
        <w:object>
          <v:shape id="_x0000_i1027" o:spt="75" type="#_x0000_t75" style="height:36pt;width:109.5pt;" o:ole="t" filled="f" o:preferrelative="t" stroked="f" coordsize="21600,21600">
            <v:path/>
            <v:fill on="f" focussize="0,0"/>
            <v:stroke on="f" joinstyle="miter"/>
            <v:imagedata r:id="rId38" o:title=""/>
            <o:lock v:ext="edit" aspectratio="t"/>
            <w10:wrap type="none"/>
            <w10:anchorlock/>
          </v:shape>
          <o:OLEObject Type="Embed" ProgID="" ShapeID="_x0000_i1027" DrawAspect="Content" ObjectID="_1468075727" r:id="rId37">
            <o:LockedField>false</o:LockedField>
          </o:OLEObject>
        </w:object>
      </w:r>
    </w:p>
    <w:p w14:paraId="6EC526FE">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其中：K即考核期绩效考核综合评分，</w:t>
      </w:r>
      <w:r>
        <w:rPr>
          <w:rFonts w:hint="default" w:ascii="Times New Roman" w:hAnsi="Times New Roman" w:eastAsia="仿宋" w:cs="Times New Roman"/>
          <w:kern w:val="2"/>
          <w:position w:val="-22"/>
          <w:sz w:val="28"/>
          <w:szCs w:val="22"/>
          <w:lang w:val="en-US" w:eastAsia="zh-CN" w:bidi="ar"/>
        </w:rPr>
        <w:drawing>
          <wp:inline distT="0" distB="0" distL="114300" distR="114300">
            <wp:extent cx="165100" cy="31115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165100" cy="311150"/>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为考核期第i次定期考核得分，</w:t>
      </w:r>
      <w:r>
        <w:rPr>
          <w:rFonts w:hint="default" w:ascii="Times New Roman" w:hAnsi="Times New Roman" w:eastAsia="仿宋" w:cs="Times New Roman"/>
          <w:kern w:val="2"/>
          <w:position w:val="-22"/>
          <w:sz w:val="28"/>
          <w:szCs w:val="22"/>
          <w:lang w:val="en-US" w:eastAsia="zh-CN" w:bidi="ar"/>
        </w:rPr>
        <w:drawing>
          <wp:inline distT="0" distB="0" distL="114300" distR="114300">
            <wp:extent cx="88900" cy="311150"/>
            <wp:effectExtent l="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88900" cy="311150"/>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为考核期内定期考核总次数，</w:t>
      </w:r>
      <w:r>
        <w:rPr>
          <w:rFonts w:hint="default" w:ascii="Times New Roman" w:hAnsi="Times New Roman" w:eastAsia="仿宋" w:cs="Times New Roman"/>
          <w:kern w:val="2"/>
          <w:position w:val="-26"/>
          <w:sz w:val="28"/>
          <w:szCs w:val="22"/>
          <w:lang w:val="en-US" w:eastAsia="zh-CN" w:bidi="ar"/>
        </w:rPr>
        <w:drawing>
          <wp:inline distT="0" distB="0" distL="114300" distR="114300">
            <wp:extent cx="158750" cy="336550"/>
            <wp:effectExtent l="0" t="0" r="635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1">
                      <a:clrChange>
                        <a:clrFrom>
                          <a:srgbClr val="FFFFFF"/>
                        </a:clrFrom>
                        <a:clrTo>
                          <a:srgbClr val="FFFFFF">
                            <a:alpha val="0"/>
                          </a:srgbClr>
                        </a:clrTo>
                      </a:clrChange>
                    </a:blip>
                    <a:stretch>
                      <a:fillRect/>
                    </a:stretch>
                  </pic:blipFill>
                  <pic:spPr>
                    <a:xfrm>
                      <a:off x="0" y="0"/>
                      <a:ext cx="158750" cy="336550"/>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为考核期第j次不定期考核得分，P为考核期不定期考核总次数，</w:t>
      </w:r>
      <w:r>
        <w:rPr>
          <w:rFonts w:hint="default" w:ascii="Times New Roman" w:hAnsi="Times New Roman" w:eastAsia="仿宋" w:cs="Times New Roman"/>
          <w:kern w:val="2"/>
          <w:position w:val="-22"/>
          <w:sz w:val="28"/>
          <w:szCs w:val="22"/>
          <w:lang w:val="en-US" w:eastAsia="zh-CN" w:bidi="ar"/>
        </w:rPr>
        <w:drawing>
          <wp:inline distT="0" distB="0" distL="114300" distR="114300">
            <wp:extent cx="127000" cy="31115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2">
                      <a:clrChange>
                        <a:clrFrom>
                          <a:srgbClr val="FFFFFF"/>
                        </a:clrFrom>
                        <a:clrTo>
                          <a:srgbClr val="FFFFFF">
                            <a:alpha val="0"/>
                          </a:srgbClr>
                        </a:clrTo>
                      </a:clrChange>
                    </a:blip>
                    <a:stretch>
                      <a:fillRect/>
                    </a:stretch>
                  </pic:blipFill>
                  <pic:spPr>
                    <a:xfrm>
                      <a:off x="0" y="0"/>
                      <a:ext cx="127000" cy="311150"/>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w:t>
      </w:r>
      <w:r>
        <w:rPr>
          <w:rFonts w:hint="default" w:ascii="Times New Roman" w:hAnsi="Times New Roman" w:eastAsia="仿宋" w:cs="Times New Roman"/>
          <w:kern w:val="2"/>
          <w:position w:val="-26"/>
          <w:sz w:val="28"/>
          <w:szCs w:val="22"/>
          <w:lang w:val="en-US" w:eastAsia="zh-CN" w:bidi="ar"/>
        </w:rPr>
        <w:drawing>
          <wp:inline distT="0" distB="0" distL="114300" distR="114300">
            <wp:extent cx="139700" cy="336550"/>
            <wp:effectExtent l="0" t="0" r="0"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3">
                      <a:clrChange>
                        <a:clrFrom>
                          <a:srgbClr val="FFFFFF"/>
                        </a:clrFrom>
                        <a:clrTo>
                          <a:srgbClr val="FFFFFF">
                            <a:alpha val="0"/>
                          </a:srgbClr>
                        </a:clrTo>
                      </a:clrChange>
                    </a:blip>
                    <a:stretch>
                      <a:fillRect/>
                    </a:stretch>
                  </pic:blipFill>
                  <pic:spPr>
                    <a:xfrm>
                      <a:off x="0" y="0"/>
                      <a:ext cx="139700" cy="336550"/>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分别为考核期内第i次定期考核、第j次不定期考核在综合评分中的权重，应满足</w:t>
      </w:r>
    </w:p>
    <w:p w14:paraId="1ACF818E">
      <w:pPr>
        <w:keepNext w:val="0"/>
        <w:keepLines w:val="0"/>
        <w:widowControl w:val="0"/>
        <w:suppressLineNumbers w:val="0"/>
        <w:spacing w:before="156" w:beforeAutospacing="0" w:after="156" w:afterAutospacing="0" w:line="360" w:lineRule="auto"/>
        <w:ind w:left="0" w:right="0" w:firstLine="480"/>
        <w:jc w:val="center"/>
        <w:rPr>
          <w:rFonts w:eastAsia="方正仿宋"/>
          <w:sz w:val="24"/>
          <w:szCs w:val="24"/>
          <w:lang w:val="en-US"/>
        </w:rPr>
      </w:pPr>
      <w:r>
        <w:rPr>
          <w:rFonts w:hint="default" w:ascii="Times New Roman" w:hAnsi="Times New Roman" w:eastAsia="仿宋" w:cs="Times New Roman"/>
          <w:kern w:val="2"/>
          <w:position w:val="-23"/>
          <w:sz w:val="28"/>
          <w:szCs w:val="22"/>
          <w:lang w:val="en-US" w:eastAsia="zh-CN" w:bidi="ar"/>
        </w:rPr>
        <w:drawing>
          <wp:inline distT="0" distB="0" distL="114300" distR="114300">
            <wp:extent cx="1022350" cy="304800"/>
            <wp:effectExtent l="0" t="0" r="635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44">
                      <a:clrChange>
                        <a:clrFrom>
                          <a:srgbClr val="FFFFFF"/>
                        </a:clrFrom>
                        <a:clrTo>
                          <a:srgbClr val="FFFFFF">
                            <a:alpha val="0"/>
                          </a:srgbClr>
                        </a:clrTo>
                      </a:clrChange>
                    </a:blip>
                    <a:stretch>
                      <a:fillRect/>
                    </a:stretch>
                  </pic:blipFill>
                  <pic:spPr>
                    <a:xfrm>
                      <a:off x="0" y="0"/>
                      <a:ext cx="1022350" cy="304800"/>
                    </a:xfrm>
                    <a:prstGeom prst="rect">
                      <a:avLst/>
                    </a:prstGeom>
                    <a:noFill/>
                    <a:ln>
                      <a:noFill/>
                    </a:ln>
                  </pic:spPr>
                </pic:pic>
              </a:graphicData>
            </a:graphic>
          </wp:inline>
        </w:drawing>
      </w:r>
      <w:r>
        <w:rPr>
          <w:rFonts w:hint="default" w:ascii="Times New Roman" w:hAnsi="Times New Roman" w:eastAsia="方正仿宋" w:cs="Times New Roman"/>
          <w:kern w:val="2"/>
          <w:sz w:val="24"/>
          <w:szCs w:val="24"/>
          <w:lang w:val="en-US" w:eastAsia="zh-CN" w:bidi="ar"/>
        </w:rPr>
        <w:t>=1</w:t>
      </w:r>
    </w:p>
    <w:p w14:paraId="70AB01F8">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每次运营期绩效考核按照本合同约定进行评分，并根据以上公式计算综合绩效考核评分。本方案设置了绩效考核与使用者付费挂钩的考核机制。</w:t>
      </w:r>
    </w:p>
    <w:p w14:paraId="35FFE3EE">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根据以上公式，汇总考核期各次的考核结果，按如下方式计算得到垃圾处理服务费绩效考核系数K1：</w:t>
      </w:r>
    </w:p>
    <w:p w14:paraId="202E3CEB">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 1 \* GB3 \* MERGEFORMAT </w:instrText>
      </w:r>
      <w:r>
        <w:rPr>
          <w:rFonts w:hint="eastAsia" w:ascii="仿宋" w:hAnsi="仿宋" w:eastAsia="仿宋" w:cs="仿宋"/>
          <w:kern w:val="2"/>
          <w:sz w:val="28"/>
          <w:szCs w:val="28"/>
          <w:lang w:val="en-US" w:eastAsia="zh-CN" w:bidi="ar"/>
        </w:rPr>
        <w:fldChar w:fldCharType="separate"/>
      </w:r>
      <w:r>
        <w:rPr>
          <w:rFonts w:hint="eastAsia" w:ascii="仿宋" w:hAnsi="仿宋" w:eastAsia="仿宋" w:cs="宋体"/>
          <w:kern w:val="2"/>
          <w:sz w:val="28"/>
          <w:szCs w:val="28"/>
          <w:lang w:val="en-US" w:eastAsia="zh-CN" w:bidi="ar"/>
        </w:rPr>
        <w:t>①</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100分&gt;考核期综合绩效考核评分≥</w:t>
      </w:r>
      <w:r>
        <w:rPr>
          <w:rFonts w:hint="eastAsia" w:ascii="仿宋" w:hAnsi="仿宋" w:cs="仿宋"/>
          <w:kern w:val="2"/>
          <w:sz w:val="28"/>
          <w:szCs w:val="28"/>
          <w:lang w:val="en-US" w:eastAsia="zh-CN" w:bidi="ar"/>
        </w:rPr>
        <w:t>8</w:t>
      </w:r>
      <w:r>
        <w:rPr>
          <w:rFonts w:hint="eastAsia" w:ascii="仿宋" w:hAnsi="仿宋" w:eastAsia="仿宋" w:cs="仿宋"/>
          <w:kern w:val="2"/>
          <w:sz w:val="28"/>
          <w:szCs w:val="28"/>
          <w:lang w:val="en-US" w:eastAsia="zh-CN" w:bidi="ar"/>
        </w:rPr>
        <w:t>0分，则绩效考核系数K1为100%；</w:t>
      </w:r>
    </w:p>
    <w:p w14:paraId="70F913F6">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 2 \* GB3 \* MERGEFORMAT </w:instrText>
      </w:r>
      <w:r>
        <w:rPr>
          <w:rFonts w:hint="eastAsia" w:ascii="仿宋" w:hAnsi="仿宋" w:eastAsia="仿宋" w:cs="仿宋"/>
          <w:kern w:val="2"/>
          <w:sz w:val="28"/>
          <w:szCs w:val="28"/>
          <w:lang w:val="en-US" w:eastAsia="zh-CN" w:bidi="ar"/>
        </w:rPr>
        <w:fldChar w:fldCharType="separate"/>
      </w:r>
      <w:r>
        <w:rPr>
          <w:rFonts w:hint="eastAsia" w:ascii="仿宋" w:hAnsi="仿宋" w:eastAsia="仿宋" w:cs="宋体"/>
          <w:kern w:val="2"/>
          <w:sz w:val="28"/>
          <w:szCs w:val="28"/>
          <w:lang w:val="en-US" w:eastAsia="zh-CN" w:bidi="ar"/>
        </w:rPr>
        <w:t>②</w:t>
      </w:r>
      <w:r>
        <w:rPr>
          <w:rFonts w:hint="eastAsia" w:ascii="仿宋" w:hAnsi="仿宋" w:eastAsia="仿宋" w:cs="仿宋"/>
          <w:kern w:val="2"/>
          <w:sz w:val="28"/>
          <w:szCs w:val="28"/>
          <w:lang w:val="en-US" w:eastAsia="zh-CN" w:bidi="ar"/>
        </w:rPr>
        <w:fldChar w:fldCharType="end"/>
      </w:r>
      <w:r>
        <w:rPr>
          <w:rFonts w:hint="eastAsia" w:ascii="仿宋" w:hAnsi="仿宋" w:cs="仿宋"/>
          <w:kern w:val="2"/>
          <w:sz w:val="28"/>
          <w:szCs w:val="28"/>
          <w:lang w:val="en-US" w:eastAsia="zh-CN" w:bidi="ar"/>
        </w:rPr>
        <w:t>8</w:t>
      </w:r>
      <w:r>
        <w:rPr>
          <w:rFonts w:hint="eastAsia" w:ascii="仿宋" w:hAnsi="仿宋" w:eastAsia="仿宋" w:cs="仿宋"/>
          <w:kern w:val="2"/>
          <w:sz w:val="28"/>
          <w:szCs w:val="28"/>
          <w:lang w:val="en-US" w:eastAsia="zh-CN" w:bidi="ar"/>
        </w:rPr>
        <w:t>0分&gt;考核期综合绩效考核评分≥60分，则</w:t>
      </w:r>
    </w:p>
    <w:p w14:paraId="5D3F739E">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绩效考核系数K1=（考核期综合绩效考核评分÷</w:t>
      </w:r>
      <w:r>
        <w:rPr>
          <w:rFonts w:hint="eastAsia" w:ascii="仿宋" w:hAnsi="仿宋" w:cs="仿宋"/>
          <w:kern w:val="2"/>
          <w:sz w:val="28"/>
          <w:szCs w:val="28"/>
          <w:lang w:val="en-US" w:eastAsia="zh-CN" w:bidi="ar"/>
        </w:rPr>
        <w:t>8</w:t>
      </w:r>
      <w:r>
        <w:rPr>
          <w:rFonts w:hint="eastAsia" w:ascii="仿宋" w:hAnsi="仿宋" w:eastAsia="仿宋" w:cs="仿宋"/>
          <w:kern w:val="2"/>
          <w:sz w:val="28"/>
          <w:szCs w:val="28"/>
          <w:lang w:val="en-US" w:eastAsia="zh-CN" w:bidi="ar"/>
        </w:rPr>
        <w:t>0）×100%；</w:t>
      </w:r>
    </w:p>
    <w:p w14:paraId="1C9E586E">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fldChar w:fldCharType="begin"/>
      </w:r>
      <w:r>
        <w:rPr>
          <w:rFonts w:hint="eastAsia" w:ascii="仿宋" w:hAnsi="仿宋" w:eastAsia="仿宋" w:cs="仿宋"/>
          <w:kern w:val="2"/>
          <w:sz w:val="28"/>
          <w:szCs w:val="28"/>
          <w:lang w:val="en-US" w:eastAsia="zh-CN" w:bidi="ar"/>
        </w:rPr>
        <w:instrText xml:space="preserve"> = 3 \* GB3 \* MERGEFORMAT </w:instrText>
      </w:r>
      <w:r>
        <w:rPr>
          <w:rFonts w:hint="eastAsia" w:ascii="仿宋" w:hAnsi="仿宋" w:eastAsia="仿宋" w:cs="仿宋"/>
          <w:kern w:val="2"/>
          <w:sz w:val="28"/>
          <w:szCs w:val="28"/>
          <w:lang w:val="en-US" w:eastAsia="zh-CN" w:bidi="ar"/>
        </w:rPr>
        <w:fldChar w:fldCharType="separate"/>
      </w:r>
      <w:r>
        <w:rPr>
          <w:rFonts w:hint="eastAsia" w:ascii="仿宋" w:hAnsi="仿宋" w:eastAsia="仿宋" w:cs="宋体"/>
          <w:kern w:val="2"/>
          <w:sz w:val="28"/>
          <w:szCs w:val="28"/>
          <w:lang w:val="en-US" w:eastAsia="zh-CN" w:bidi="ar"/>
        </w:rPr>
        <w:t>③</w:t>
      </w:r>
      <w:r>
        <w:rPr>
          <w:rFonts w:hint="eastAsia" w:ascii="仿宋" w:hAnsi="仿宋" w:eastAsia="仿宋" w:cs="仿宋"/>
          <w:kern w:val="2"/>
          <w:sz w:val="28"/>
          <w:szCs w:val="28"/>
          <w:lang w:val="en-US" w:eastAsia="zh-CN" w:bidi="ar"/>
        </w:rPr>
        <w:fldChar w:fldCharType="end"/>
      </w:r>
      <w:r>
        <w:rPr>
          <w:rFonts w:hint="eastAsia" w:ascii="仿宋" w:hAnsi="仿宋" w:eastAsia="仿宋" w:cs="仿宋"/>
          <w:kern w:val="2"/>
          <w:sz w:val="28"/>
          <w:szCs w:val="28"/>
          <w:lang w:val="en-US" w:eastAsia="zh-CN" w:bidi="ar"/>
        </w:rPr>
        <w:t>考核期综合绩效考核评分&lt;60分的，则当期绩效考核系数K1为0%。</w:t>
      </w:r>
    </w:p>
    <w:p w14:paraId="36903C47">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若乙方对考核结果有异议，可在考核结果出台后的三个工作日内向实施机构提起申诉，由双方共同聘请的第三方机构重新进行考核，第三方机构出具的考核结果为最终结果，聘请第三方机构的费用由乙方承担。</w:t>
      </w:r>
    </w:p>
    <w:p w14:paraId="6CE5D0A8">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运营期绩效考核与乙方收入：</w:t>
      </w:r>
    </w:p>
    <w:p w14:paraId="09833BDC">
      <w:pPr>
        <w:keepNext w:val="0"/>
        <w:keepLines w:val="0"/>
        <w:widowControl w:val="0"/>
        <w:numPr>
          <w:ilvl w:val="2"/>
          <w:numId w:val="80"/>
        </w:numPr>
        <w:suppressLineNumbers w:val="0"/>
        <w:snapToGrid w:val="0"/>
        <w:spacing w:before="156" w:beforeAutospacing="0" w:after="156" w:afterAutospacing="0" w:line="360" w:lineRule="auto"/>
        <w:ind w:left="0" w:right="0" w:firstLine="560" w:firstLineChars="20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垃圾处理服务费采用“先按月结算，按年调整”的方式。</w:t>
      </w:r>
    </w:p>
    <w:p w14:paraId="0CD67151">
      <w:pPr>
        <w:keepNext w:val="0"/>
        <w:keepLines w:val="0"/>
        <w:widowControl w:val="0"/>
        <w:numPr>
          <w:ilvl w:val="2"/>
          <w:numId w:val="80"/>
        </w:numPr>
        <w:suppressLineNumbers w:val="0"/>
        <w:snapToGrid w:val="0"/>
        <w:spacing w:before="156" w:beforeAutospacing="0" w:after="156" w:afterAutospacing="0" w:line="360" w:lineRule="auto"/>
        <w:ind w:left="0" w:right="0" w:firstLine="560" w:firstLineChars="20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首先按“付费垃圾处理量×垃圾处理服务费单价”，按月结算垃圾处理服务费；</w:t>
      </w:r>
    </w:p>
    <w:p w14:paraId="2CA34DD1">
      <w:pPr>
        <w:keepNext w:val="0"/>
        <w:keepLines w:val="0"/>
        <w:widowControl w:val="0"/>
        <w:numPr>
          <w:ilvl w:val="2"/>
          <w:numId w:val="80"/>
        </w:numPr>
        <w:suppressLineNumbers w:val="0"/>
        <w:snapToGrid w:val="0"/>
        <w:spacing w:before="156" w:beforeAutospacing="0" w:after="156" w:afterAutospacing="0" w:line="360" w:lineRule="auto"/>
        <w:ind w:left="0" w:right="0" w:firstLine="560" w:firstLineChars="20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考核期结束后根据绩效考核结果计算实际垃圾处理服务费。实际垃圾处理服务费=付费垃圾处理量×生活垃圾处理服务费单价×绩效考核系数K1；</w:t>
      </w:r>
    </w:p>
    <w:p w14:paraId="05877C70">
      <w:pPr>
        <w:keepNext w:val="0"/>
        <w:keepLines w:val="0"/>
        <w:widowControl w:val="0"/>
        <w:numPr>
          <w:ilvl w:val="2"/>
          <w:numId w:val="80"/>
        </w:numPr>
        <w:suppressLineNumbers w:val="0"/>
        <w:snapToGrid w:val="0"/>
        <w:spacing w:before="156" w:beforeAutospacing="0" w:after="156" w:afterAutospacing="0" w:line="360" w:lineRule="auto"/>
        <w:ind w:left="0" w:right="0" w:firstLine="560" w:firstLineChars="200"/>
        <w:jc w:val="both"/>
        <w:rPr>
          <w:rFonts w:hint="eastAsia" w:ascii="仿宋" w:hAnsi="仿宋" w:eastAsia="仿宋" w:cs="仿宋"/>
          <w:szCs w:val="28"/>
          <w:lang w:val="en-US"/>
        </w:rPr>
      </w:pPr>
      <w:r>
        <w:rPr>
          <w:rFonts w:hint="eastAsia" w:ascii="仿宋" w:hAnsi="仿宋" w:eastAsia="仿宋" w:cs="仿宋"/>
          <w:kern w:val="2"/>
          <w:sz w:val="28"/>
          <w:szCs w:val="28"/>
          <w:lang w:val="en-US" w:eastAsia="zh-CN" w:bidi="ar"/>
        </w:rPr>
        <w:t>考核期内已经支付的垃圾处理服务费与实际垃圾处理服务费的差额=已支付垃圾处理服务费-实际垃圾处理服务费。</w:t>
      </w:r>
    </w:p>
    <w:p w14:paraId="283E479C">
      <w:pPr>
        <w:keepNext w:val="0"/>
        <w:keepLines w:val="0"/>
        <w:widowControl w:val="0"/>
        <w:suppressLineNumbers w:val="0"/>
        <w:spacing w:before="156" w:beforeAutospacing="0" w:after="156" w:afterAutospacing="0" w:line="360" w:lineRule="auto"/>
        <w:ind w:left="0" w:right="0" w:firstLine="480"/>
        <w:jc w:val="both"/>
        <w:rPr>
          <w:rFonts w:hint="eastAsia" w:ascii="仿宋" w:hAnsi="仿宋" w:eastAsia="仿宋" w:cs="仿宋"/>
          <w:sz w:val="24"/>
          <w:szCs w:val="24"/>
          <w:lang w:val="en-US"/>
        </w:rPr>
      </w:pPr>
      <w:r>
        <w:rPr>
          <w:rFonts w:hint="eastAsia" w:ascii="仿宋" w:hAnsi="仿宋" w:eastAsia="仿宋" w:cs="仿宋"/>
          <w:kern w:val="2"/>
          <w:sz w:val="28"/>
          <w:szCs w:val="28"/>
          <w:lang w:val="en-US" w:eastAsia="zh-CN" w:bidi="ar"/>
        </w:rPr>
        <w:t>考核期内已经支付的补贴差额在下月应付的垃圾处理服务费中扣除。</w:t>
      </w:r>
    </w:p>
    <w:p w14:paraId="62AE528B">
      <w:pPr>
        <w:pStyle w:val="8"/>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移交期评价</w:t>
      </w:r>
    </w:p>
    <w:p w14:paraId="79B7679A">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依据移交评分结果，对移交保函进行相应扣款：</w:t>
      </w:r>
    </w:p>
    <w:p w14:paraId="34D620B3">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评价得分在80分及以上的，移交履约担保金额不予扣款；</w:t>
      </w:r>
    </w:p>
    <w:p w14:paraId="6185E1C8">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评价得分在75分（含）-80分之间的，扣除移交履约担保金额的5%。</w:t>
      </w:r>
    </w:p>
    <w:p w14:paraId="7D56079A">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评价得分在70分（含）-75分之间的，扣除移交履约担保金额的20%。</w:t>
      </w:r>
    </w:p>
    <w:p w14:paraId="5B7B367C">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评价得分在60分（含）-70分之间的，扣除移交履约担保金额的30%。</w:t>
      </w:r>
    </w:p>
    <w:p w14:paraId="70B68131">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评价得分在60分以下的，扣除移交履约担保金额的60%。</w:t>
      </w:r>
    </w:p>
    <w:p w14:paraId="263240D4">
      <w:pPr>
        <w:pStyle w:val="5"/>
        <w:numPr>
          <w:ilvl w:val="2"/>
          <w:numId w:val="64"/>
        </w:numPr>
        <w:rPr>
          <w:color w:val="000000" w:themeColor="text1"/>
          <w14:textFill>
            <w14:solidFill>
              <w14:schemeClr w14:val="tx1"/>
            </w14:solidFill>
          </w14:textFill>
        </w:rPr>
      </w:pPr>
      <w:bookmarkStart w:id="429" w:name="_Toc25111"/>
      <w:bookmarkStart w:id="430" w:name="_Toc29994"/>
      <w:r>
        <w:rPr>
          <w:color w:val="000000" w:themeColor="text1"/>
          <w14:textFill>
            <w14:solidFill>
              <w14:schemeClr w14:val="tx1"/>
            </w14:solidFill>
          </w14:textFill>
        </w:rPr>
        <w:t>风险管控</w:t>
      </w:r>
      <w:bookmarkEnd w:id="429"/>
      <w:bookmarkEnd w:id="430"/>
    </w:p>
    <w:p w14:paraId="70EDCBD2">
      <w:pPr>
        <w:pStyle w:val="6"/>
        <w:numPr>
          <w:ilvl w:val="3"/>
          <w:numId w:val="64"/>
        </w:numPr>
        <w:spacing w:before="156" w:after="156"/>
        <w:rPr>
          <w:color w:val="000000" w:themeColor="text1"/>
          <w14:textFill>
            <w14:solidFill>
              <w14:schemeClr w14:val="tx1"/>
            </w14:solidFill>
          </w14:textFill>
        </w:rPr>
      </w:pPr>
      <w:bookmarkStart w:id="431" w:name="_Toc23897"/>
      <w:r>
        <w:rPr>
          <w:rFonts w:hint="eastAsia"/>
          <w:color w:val="000000" w:themeColor="text1"/>
          <w14:textFill>
            <w14:solidFill>
              <w14:schemeClr w14:val="tx1"/>
            </w14:solidFill>
          </w14:textFill>
        </w:rPr>
        <w:t>风险识别</w:t>
      </w:r>
      <w:bookmarkEnd w:id="431"/>
    </w:p>
    <w:p w14:paraId="6DB12A1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风险识别主要从项目自身原因引发的风险和外界环境引发的风险两方面展开。</w:t>
      </w:r>
      <w:r>
        <w:rPr>
          <w:color w:val="000000" w:themeColor="text1"/>
          <w14:textFill>
            <w14:solidFill>
              <w14:schemeClr w14:val="tx1"/>
            </w14:solidFill>
          </w14:textFill>
        </w:rPr>
        <w:t>因项目自身原因引发的风险主要划分为融资风险、</w:t>
      </w:r>
      <w:r>
        <w:rPr>
          <w:rFonts w:hint="eastAsia"/>
          <w:color w:val="000000" w:themeColor="text1"/>
          <w:lang w:val="en-US" w:eastAsia="zh-CN"/>
          <w14:textFill>
            <w14:solidFill>
              <w14:schemeClr w14:val="tx1"/>
            </w14:solidFill>
          </w14:textFill>
        </w:rPr>
        <w:t>前期准备风险、</w:t>
      </w:r>
      <w:r>
        <w:rPr>
          <w:color w:val="000000" w:themeColor="text1"/>
          <w14:textFill>
            <w14:solidFill>
              <w14:schemeClr w14:val="tx1"/>
            </w14:solidFill>
          </w14:textFill>
        </w:rPr>
        <w:t>建设风险、运营风险和移交风险。外界环境引发且超出自身控制的风险，包括政治风险、政策风险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不可抗力风险</w:t>
      </w:r>
      <w:r>
        <w:rPr>
          <w:rFonts w:hint="eastAsia"/>
          <w:color w:val="000000" w:themeColor="text1"/>
          <w14:textFill>
            <w14:solidFill>
              <w14:schemeClr w14:val="tx1"/>
            </w14:solidFill>
          </w14:textFill>
        </w:rPr>
        <w:t>和其他风险，此种风险贯穿于项目的各个阶段，项目在立项、建设、生产运营直到移交的全过程都可能受到影响。</w:t>
      </w:r>
    </w:p>
    <w:p w14:paraId="40A82598">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综上，</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本项目的主要风险进行识别如下：</w:t>
      </w:r>
    </w:p>
    <w:p w14:paraId="0DB71A74">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融资风险</w:t>
      </w:r>
    </w:p>
    <w:p w14:paraId="447E8CA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融资风险主要包括融资金额不足、融资成本超预期、融资利率波动等风险。</w:t>
      </w:r>
      <w:r>
        <w:rPr>
          <w:rFonts w:hint="eastAsia"/>
          <w:color w:val="000000" w:themeColor="text1"/>
          <w14:textFill>
            <w14:solidFill>
              <w14:schemeClr w14:val="tx1"/>
            </w14:solidFill>
          </w14:textFill>
        </w:rPr>
        <w:t>其中最主要的表现形式是资金筹措困难，导致融资成本增加，甚至可能出现融资失败。由于本项目的投资大、周期长，要求社会资本具备较强的经济实力及履约能力，以保障项目能够及时、足额的获取融资资金。项目融资风险主要由项目公司承担</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政府方给予一定的政策支持和配合</w:t>
      </w:r>
      <w:r>
        <w:rPr>
          <w:color w:val="000000" w:themeColor="text1"/>
          <w14:textFill>
            <w14:solidFill>
              <w14:schemeClr w14:val="tx1"/>
            </w14:solidFill>
          </w14:textFill>
        </w:rPr>
        <w:t>。</w:t>
      </w:r>
    </w:p>
    <w:p w14:paraId="51B3E2EB">
      <w:pPr>
        <w:pStyle w:val="7"/>
        <w:ind w:firstLine="56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前期准备风险</w:t>
      </w:r>
    </w:p>
    <w:p w14:paraId="659C4894">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前期准备阶段风险主要包括土地取得风险、选址不当风险、项目公司取得前期工作手续取得不及时风险。项目前期准备阶段的土地取得风险及选址不当风险由政府方承担，</w:t>
      </w:r>
      <w:r>
        <w:rPr>
          <w:rFonts w:hint="eastAsia" w:ascii="Times New Roman" w:hAnsi="Times New Roman" w:eastAsia="仿宋" w:cs="Times New Roman"/>
          <w:color w:val="000000"/>
          <w:kern w:val="2"/>
          <w:sz w:val="28"/>
          <w:szCs w:val="22"/>
          <w:lang w:val="en-US" w:eastAsia="zh-CN" w:bidi="ar"/>
        </w:rPr>
        <w:t>项目公司取得前期工作手续取得不及时风险由双方共担</w:t>
      </w:r>
      <w:r>
        <w:rPr>
          <w:rFonts w:hint="eastAsia"/>
          <w:color w:val="000000" w:themeColor="text1"/>
          <w:lang w:val="en-US" w:eastAsia="zh-CN"/>
          <w14:textFill>
            <w14:solidFill>
              <w14:schemeClr w14:val="tx1"/>
            </w14:solidFill>
          </w14:textFill>
        </w:rPr>
        <w:t>。</w:t>
      </w:r>
    </w:p>
    <w:p w14:paraId="45E62168">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建设风险</w:t>
      </w:r>
    </w:p>
    <w:p w14:paraId="289C649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风险主要包括勘察设计不当、未按设计文件建设、土地无法正常使用、承包商违约、审批延误、工程变更、施工成本上涨、工期延误、施工技术不当、工程质量不达标、环境污染或破坏、工地安全事故、分包商违约等风险。</w:t>
      </w:r>
    </w:p>
    <w:p w14:paraId="12CC4F4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运营风险</w:t>
      </w:r>
    </w:p>
    <w:p w14:paraId="4309F66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运营风险主要包括运营维护成本上涨、运营违约、辅助材料供应</w:t>
      </w:r>
      <w:r>
        <w:rPr>
          <w:rFonts w:hint="eastAsia"/>
          <w:color w:val="000000" w:themeColor="text1"/>
          <w14:textFill>
            <w14:solidFill>
              <w14:schemeClr w14:val="tx1"/>
            </w14:solidFill>
          </w14:textFill>
        </w:rPr>
        <w:t>不足</w:t>
      </w:r>
      <w:r>
        <w:rPr>
          <w:color w:val="000000" w:themeColor="text1"/>
          <w14:textFill>
            <w14:solidFill>
              <w14:schemeClr w14:val="tx1"/>
            </w14:solidFill>
          </w14:textFill>
        </w:rPr>
        <w:t>、环境污染或破环、运营质量不达标、运营维护安全等风险。</w:t>
      </w:r>
    </w:p>
    <w:p w14:paraId="703F0D02">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维护成本上涨风险：导致运营维护成本上涨的原因主要分为市级政府可控的标准变更、市级政府不可控的标准变更、通货膨胀等市场原因以及项目公司运营管理水平低。其中，市级政府可控的标准变更导致的成本上涨主要由政府承担，运营管理水平低等原因导致的成本上涨由项目公司承担，市级政府不可控的标准变更及通货膨胀等市场原因导致的成本上涨由政府和项目公司共担；</w:t>
      </w:r>
    </w:p>
    <w:p w14:paraId="3DE2F106">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运营违约：运营期间，政府和项目公司应按照相关法律法规的规定及特许经营协议的约定履行其权利和义务，并各自承担其违约风险；</w:t>
      </w:r>
    </w:p>
    <w:p w14:paraId="4645513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辅助材料供应风险：辅助材料供应属项目公司与材料供应商之间约定事宜，由于辅助材料供应因素导致项目运营不善的风险由项目公司承担；</w:t>
      </w:r>
    </w:p>
    <w:p w14:paraId="73718B76">
      <w:pPr>
        <w:ind w:firstLine="560" w:firstLineChars="200"/>
        <w:rPr>
          <w:rFonts w:hint="eastAsia" w:eastAsia="仿宋"/>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环境污染或破坏风险：运营期间，项目公司应遵守相关规定保护环境，预防环境污染，</w:t>
      </w:r>
      <w:r>
        <w:rPr>
          <w:rFonts w:hint="eastAsia"/>
          <w:color w:val="000000" w:themeColor="text1"/>
          <w:lang w:val="en-US" w:eastAsia="zh-CN"/>
          <w14:textFill>
            <w14:solidFill>
              <w14:schemeClr w14:val="tx1"/>
            </w14:solidFill>
          </w14:textFill>
        </w:rPr>
        <w:t>可能产生的风险有：二噁英等有害物质排放、炉渣和飞灰处理不当等，其</w:t>
      </w:r>
      <w:r>
        <w:rPr>
          <w:rFonts w:hint="eastAsia"/>
          <w:color w:val="000000" w:themeColor="text1"/>
          <w14:textFill>
            <w14:solidFill>
              <w14:schemeClr w14:val="tx1"/>
            </w14:solidFill>
          </w14:textFill>
        </w:rPr>
        <w:t>造成环境污染或破坏而产生损失的风险应由项目公司承担；缓解环境影响的综合措施</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建立完善的环境管理体系，定期进行环境影响评估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持续投入研发，提升焚烧技术和设备水平，减少环境污染</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加强与公众的沟通与互动，提高项目透明度，增强公众信任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推动垃圾焚烧发电与资源回收利用相结合，实现绿色发展</w:t>
      </w:r>
      <w:r>
        <w:rPr>
          <w:rFonts w:hint="eastAsia"/>
          <w:color w:val="000000" w:themeColor="text1"/>
          <w:lang w:eastAsia="zh-CN"/>
          <w14:textFill>
            <w14:solidFill>
              <w14:schemeClr w14:val="tx1"/>
            </w14:solidFill>
          </w14:textFill>
        </w:rPr>
        <w:t>；</w:t>
      </w:r>
    </w:p>
    <w:p w14:paraId="5B3CE0A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运营质量不达标风险：项目公司负责本项目的运营维护工作，运营过程中由于设施维护不当或不及时而造成的经济损失等风险，由项目公司承担；</w:t>
      </w:r>
    </w:p>
    <w:p w14:paraId="4984302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维护安全风险：运营期间，除因项目公司自身原因导致的运营维护安全问题由项目公司承担外，若出现其他运营维护安全问题则应遵照政府相关主管部门对事故责任的判定结果执行，由相关责任人承担相应损失；若存在异议，则任何一方有权向项目所在地人民法院提起诉讼。</w:t>
      </w:r>
    </w:p>
    <w:p w14:paraId="737FA455">
      <w:pPr>
        <w:ind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垃圾处理量不足的风险：运营期间，由于垃圾分类不彻底、居民参与度不高或垃圾收集系统不完善，导致实际收集到的垃圾量低于项目设计的处理能力；垃圾中混有大量不可燃或难燃物质，降低了垃圾的有效热值，影响焚烧效率和发电量；某些地区垃圾产生量存在季节性波动，特别是在节假日或特定季节，垃圾量可能显著减少。上述运营期间可能遇到的垃圾处理量不足的风险由项目公司进行承担。</w:t>
      </w:r>
    </w:p>
    <w:p w14:paraId="7D853210">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上网发电省补不能到位风险：本项目前15年电价为0.3829元/kwh，其中包含0.1元的省补，政府方承诺协助申请省补，若运营期间省补无法申请到位，届时采取调价方式由双方协商解决，其风险由双方共担。</w:t>
      </w:r>
    </w:p>
    <w:p w14:paraId="6F372F5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移交风险</w:t>
      </w:r>
    </w:p>
    <w:p w14:paraId="331EFB4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移交风险主要包括移交条件不达标、移交费用超预算、移交后一年内设施质量问题、移交税费等风险。由于设施设备折旧严重或使用损毁而不满足移交要求，以及潜在的隐患导致项目移交后一年内出现设施质量问题等风险，应由项目公司承担。移交时产生的相应税费，应根据届时税法规定各自承担相应税费。</w:t>
      </w:r>
    </w:p>
    <w:p w14:paraId="469AF6A9">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政治风险</w:t>
      </w:r>
    </w:p>
    <w:p w14:paraId="41F594C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政治风险主要包括政府信用、政府决策过程冗长、政府征收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公众反对等风险。</w:t>
      </w:r>
      <w:r>
        <w:rPr>
          <w:rFonts w:hint="eastAsia"/>
          <w:color w:val="000000" w:themeColor="text1"/>
          <w14:textFill>
            <w14:solidFill>
              <w14:schemeClr w14:val="tx1"/>
            </w14:solidFill>
          </w14:textFill>
        </w:rPr>
        <w:t>项目政治风险主要由政府相关部门承担</w:t>
      </w:r>
      <w:r>
        <w:rPr>
          <w:color w:val="000000" w:themeColor="text1"/>
          <w14:textFill>
            <w14:solidFill>
              <w14:schemeClr w14:val="tx1"/>
            </w14:solidFill>
          </w14:textFill>
        </w:rPr>
        <w:t>。</w:t>
      </w:r>
    </w:p>
    <w:p w14:paraId="05585E0C">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风险</w:t>
      </w:r>
    </w:p>
    <w:p w14:paraId="2A1CB319">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风险主要包括</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级政府不可控的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等风险</w:t>
      </w:r>
      <w:r>
        <w:rPr>
          <w:color w:val="000000" w:themeColor="text1"/>
          <w14:textFill>
            <w14:solidFill>
              <w14:schemeClr w14:val="tx1"/>
            </w14:solidFill>
          </w14:textFill>
        </w:rPr>
        <w:t>。本方案中</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包括法律、行政法规、地方性法规、自治条例和单行条例、部门规章、地方政府规章、规范性文件。</w:t>
      </w:r>
      <w:r>
        <w:rPr>
          <w:rFonts w:hint="eastAsia"/>
          <w:color w:val="000000" w:themeColor="text1"/>
          <w14:textFill>
            <w14:solidFill>
              <w14:schemeClr w14:val="tx1"/>
            </w14:solidFill>
          </w14:textFill>
        </w:rPr>
        <w:t>市</w:t>
      </w:r>
      <w:r>
        <w:rPr>
          <w:color w:val="000000" w:themeColor="text1"/>
          <w14:textFill>
            <w14:solidFill>
              <w14:schemeClr w14:val="tx1"/>
            </w14:solidFill>
          </w14:textFill>
        </w:rPr>
        <w:t>级政府可控的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风险主要由政府承担，市</w:t>
      </w:r>
      <w:r>
        <w:rPr>
          <w:color w:val="000000" w:themeColor="text1"/>
          <w14:textFill>
            <w14:solidFill>
              <w14:schemeClr w14:val="tx1"/>
            </w14:solidFill>
          </w14:textFill>
        </w:rPr>
        <w:t>级政府不可控的</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变更</w:t>
      </w:r>
      <w:r>
        <w:rPr>
          <w:rFonts w:hint="eastAsia"/>
          <w:color w:val="000000" w:themeColor="text1"/>
          <w14:textFill>
            <w14:solidFill>
              <w14:schemeClr w14:val="tx1"/>
            </w14:solidFill>
          </w14:textFill>
        </w:rPr>
        <w:t>风险</w:t>
      </w:r>
      <w:r>
        <w:rPr>
          <w:color w:val="000000" w:themeColor="text1"/>
          <w14:textFill>
            <w14:solidFill>
              <w14:schemeClr w14:val="tx1"/>
            </w14:solidFill>
          </w14:textFill>
        </w:rPr>
        <w:t>纳入</w:t>
      </w:r>
      <w:r>
        <w:rPr>
          <w:rFonts w:hint="eastAsia"/>
          <w:color w:val="000000" w:themeColor="text1"/>
          <w14:textFill>
            <w14:solidFill>
              <w14:schemeClr w14:val="tx1"/>
            </w14:solidFill>
          </w14:textFill>
        </w:rPr>
        <w:t>不可抗力，由政府和项目公司共担</w:t>
      </w:r>
      <w:r>
        <w:rPr>
          <w:color w:val="000000" w:themeColor="text1"/>
          <w14:textFill>
            <w14:solidFill>
              <w14:schemeClr w14:val="tx1"/>
            </w14:solidFill>
          </w14:textFill>
        </w:rPr>
        <w:t>。</w:t>
      </w:r>
    </w:p>
    <w:p w14:paraId="2A0F9D8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不可抗力风险</w:t>
      </w:r>
    </w:p>
    <w:p w14:paraId="341AF68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根据《中华人民共和国民法典（2020年）》不可抗力是“指不能预见、不能避免且不能克服的客观情况”。不可抗力风险应由政府和项目公司共担。</w:t>
      </w:r>
    </w:p>
    <w:p w14:paraId="09711CA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不可抗力风险主要包括：</w:t>
      </w:r>
    </w:p>
    <w:p w14:paraId="5365B4B8">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雷电、干旱、地震、火山爆发、滑坡、水灾、暴风雨、海啸、洪水、台风、龙卷风或任何其他天灾；</w:t>
      </w:r>
      <w:r>
        <w:rPr>
          <w:rFonts w:hint="eastAsia" w:ascii="Times New Roman" w:hAnsi="Times New Roman" w:eastAsia="仿宋" w:cs="Times New Roman"/>
          <w:kern w:val="2"/>
          <w:sz w:val="28"/>
          <w:szCs w:val="22"/>
          <w:lang w:val="en-US" w:eastAsia="zh-CN" w:bidi="ar"/>
        </w:rPr>
        <w:t>或超过一定限度的导致无法正常施工或运营的极端天气（狂风、严寒）等；</w:t>
      </w:r>
    </w:p>
    <w:p w14:paraId="7FD2E68F">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大规模流行病、饥荒或瘟疫；</w:t>
      </w:r>
    </w:p>
    <w:p w14:paraId="58E3F57B">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战争行为（无论是宣战的或未宣战的）、入侵、武装冲突或敌对行为、封锁、暴乱、恐怖行为或军事力量的使用；</w:t>
      </w:r>
    </w:p>
    <w:p w14:paraId="3C4D6180">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在本项目土地使用权范围内发现考古文物、化石、古墓及遗址、艺术历史遗物及具有考古学、地质学和历史意义的任何其他物品；</w:t>
      </w:r>
    </w:p>
    <w:p w14:paraId="7FA241F7">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飞机、船只、火车失事或不能合理预见的重大交通阻滞或停运；</w:t>
      </w:r>
    </w:p>
    <w:p w14:paraId="0EC9921A">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全国性、地区性或行业性罢工；</w:t>
      </w:r>
    </w:p>
    <w:p w14:paraId="65F69C2D">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化学或放射性污染；</w:t>
      </w:r>
    </w:p>
    <w:p w14:paraId="57680915">
      <w:pPr>
        <w:numPr>
          <w:ilvl w:val="0"/>
          <w:numId w:val="81"/>
        </w:numPr>
        <w:ind w:left="0"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其他情形：如政府大型活动、周边群众阻工；</w:t>
      </w:r>
    </w:p>
    <w:p w14:paraId="40D2550C">
      <w:pPr>
        <w:numPr>
          <w:ilvl w:val="0"/>
          <w:numId w:val="81"/>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市级政府不可控的法律法规变更。</w:t>
      </w:r>
    </w:p>
    <w:p w14:paraId="60157A02">
      <w:pPr>
        <w:pStyle w:val="6"/>
        <w:numPr>
          <w:ilvl w:val="3"/>
          <w:numId w:val="64"/>
        </w:numPr>
        <w:spacing w:before="156" w:after="156"/>
        <w:rPr>
          <w:color w:val="000000" w:themeColor="text1"/>
          <w14:textFill>
            <w14:solidFill>
              <w14:schemeClr w14:val="tx1"/>
            </w14:solidFill>
          </w14:textFill>
        </w:rPr>
      </w:pPr>
      <w:bookmarkStart w:id="432" w:name="_Toc29002"/>
      <w:r>
        <w:rPr>
          <w:rFonts w:hint="eastAsia"/>
          <w:color w:val="000000" w:themeColor="text1"/>
          <w14:textFill>
            <w14:solidFill>
              <w14:schemeClr w14:val="tx1"/>
            </w14:solidFill>
          </w14:textFill>
        </w:rPr>
        <w:t>风险分担</w:t>
      </w:r>
      <w:bookmarkEnd w:id="432"/>
    </w:p>
    <w:p w14:paraId="32F697F6">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风险</w:t>
      </w:r>
      <w:r>
        <w:rPr>
          <w:rFonts w:hint="eastAsia"/>
          <w:color w:val="000000" w:themeColor="text1"/>
          <w14:textFill>
            <w14:solidFill>
              <w14:schemeClr w14:val="tx1"/>
            </w14:solidFill>
          </w14:textFill>
        </w:rPr>
        <w:t>分担基本</w:t>
      </w:r>
      <w:r>
        <w:rPr>
          <w:color w:val="000000" w:themeColor="text1"/>
          <w14:textFill>
            <w14:solidFill>
              <w14:schemeClr w14:val="tx1"/>
            </w14:solidFill>
          </w14:textFill>
        </w:rPr>
        <w:t>原则</w:t>
      </w:r>
    </w:p>
    <w:p w14:paraId="39308E29">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本项目按照风险分配优化、风险收益对等和风险可控等原则，综合考虑政府风险管理能力、项目回报机制和市场风险管理能力等要素，在政府和社会资本间合理分配项目风险。</w:t>
      </w:r>
    </w:p>
    <w:p w14:paraId="16CA93EA">
      <w:pPr>
        <w:pStyle w:val="8"/>
        <w:rPr>
          <w:color w:val="000000" w:themeColor="text1"/>
          <w14:textFill>
            <w14:solidFill>
              <w14:schemeClr w14:val="tx1"/>
            </w14:solidFill>
          </w14:textFill>
        </w:rPr>
      </w:pPr>
      <w:r>
        <w:rPr>
          <w:color w:val="000000" w:themeColor="text1"/>
          <w14:textFill>
            <w14:solidFill>
              <w14:schemeClr w14:val="tx1"/>
            </w14:solidFill>
          </w14:textFill>
        </w:rPr>
        <w:t>风险分配优化原则</w:t>
      </w:r>
    </w:p>
    <w:p w14:paraId="7499236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在遵守</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规定和考虑公共利益的前提下，风险应分配给能够以最小成本、最有效管理它的一方承担，并且给予风险承担方选择如何处理和最小化该等风险的权利。</w:t>
      </w:r>
    </w:p>
    <w:p w14:paraId="31EF93B0">
      <w:pPr>
        <w:pStyle w:val="8"/>
        <w:rPr>
          <w:color w:val="000000" w:themeColor="text1"/>
          <w14:textFill>
            <w14:solidFill>
              <w14:schemeClr w14:val="tx1"/>
            </w14:solidFill>
          </w14:textFill>
        </w:rPr>
      </w:pPr>
      <w:r>
        <w:rPr>
          <w:color w:val="000000" w:themeColor="text1"/>
          <w14:textFill>
            <w14:solidFill>
              <w14:schemeClr w14:val="tx1"/>
            </w14:solidFill>
          </w14:textFill>
        </w:rPr>
        <w:t>风险收益对等原则</w:t>
      </w:r>
    </w:p>
    <w:p w14:paraId="4F019131">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在市场经济环境下，社会资本参与项目、承担风险的目的是获得投资收益，项目参与者所承担风险的程度应当与所获得的回报相匹配，以激励其更加主动地承担和应对风险。</w:t>
      </w:r>
    </w:p>
    <w:p w14:paraId="0A2BDEDE">
      <w:pPr>
        <w:pStyle w:val="8"/>
        <w:rPr>
          <w:color w:val="000000" w:themeColor="text1"/>
          <w14:textFill>
            <w14:solidFill>
              <w14:schemeClr w14:val="tx1"/>
            </w14:solidFill>
          </w14:textFill>
        </w:rPr>
      </w:pPr>
      <w:r>
        <w:rPr>
          <w:color w:val="000000" w:themeColor="text1"/>
          <w14:textFill>
            <w14:solidFill>
              <w14:schemeClr w14:val="tx1"/>
            </w14:solidFill>
          </w14:textFill>
        </w:rPr>
        <w:t>风险可控原则</w:t>
      </w:r>
    </w:p>
    <w:p w14:paraId="5011AAD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风险分配的最终目的是使项目面临的风险得到有效的控制。因此，应按项目参与方的财务实力、技术能力、管理能力等因素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将各种风险交由对其最有控制力的项目参与方来承担，不宜由任何一方承担超过其承受能力的风险，以保证双方合作关系的长期持续稳定，实现项目最优风险管理。</w:t>
      </w:r>
    </w:p>
    <w:p w14:paraId="50D4AD50">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风险分担机制</w:t>
      </w:r>
    </w:p>
    <w:p w14:paraId="0A09A56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首先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通过风险识别确定项目</w:t>
      </w:r>
      <w:r>
        <w:rPr>
          <w:rFonts w:hint="eastAsia"/>
          <w:color w:val="000000" w:themeColor="text1"/>
          <w14:textFill>
            <w14:solidFill>
              <w14:schemeClr w14:val="tx1"/>
            </w14:solidFill>
          </w14:textFill>
        </w:rPr>
        <w:t>全生命周期</w:t>
      </w:r>
      <w:r>
        <w:rPr>
          <w:color w:val="000000" w:themeColor="text1"/>
          <w14:textFill>
            <w14:solidFill>
              <w14:schemeClr w14:val="tx1"/>
            </w14:solidFill>
          </w14:textFill>
        </w:rPr>
        <w:t>面临的风险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然后</w:t>
      </w:r>
      <w:r>
        <w:rPr>
          <w:rFonts w:hint="eastAsia"/>
          <w:color w:val="000000" w:themeColor="text1"/>
          <w14:textFill>
            <w14:solidFill>
              <w14:schemeClr w14:val="tx1"/>
            </w14:solidFill>
          </w14:textFill>
        </w:rPr>
        <w:t>，根据政府和社会资本/项目公司之间的权责利关系，确定风险分担主体；最后，</w:t>
      </w:r>
      <w:r>
        <w:rPr>
          <w:color w:val="000000" w:themeColor="text1"/>
          <w14:textFill>
            <w14:solidFill>
              <w14:schemeClr w14:val="tx1"/>
            </w14:solidFill>
          </w14:textFill>
        </w:rPr>
        <w:t>遵循风险分担</w:t>
      </w:r>
      <w:r>
        <w:rPr>
          <w:rFonts w:hint="eastAsia"/>
          <w:color w:val="000000" w:themeColor="text1"/>
          <w14:textFill>
            <w14:solidFill>
              <w14:schemeClr w14:val="tx1"/>
            </w14:solidFill>
          </w14:textFill>
        </w:rPr>
        <w:t>基本</w:t>
      </w:r>
      <w:r>
        <w:rPr>
          <w:color w:val="000000" w:themeColor="text1"/>
          <w14:textFill>
            <w14:solidFill>
              <w14:schemeClr w14:val="tx1"/>
            </w14:solidFill>
          </w14:textFill>
        </w:rPr>
        <w:t>原则，在风险分担主体之间进行风险分配，分担主体采用风险管理方法</w:t>
      </w:r>
      <w:r>
        <w:rPr>
          <w:rFonts w:hint="eastAsia"/>
          <w:color w:val="000000" w:themeColor="text1"/>
          <w14:textFill>
            <w14:solidFill>
              <w14:schemeClr w14:val="tx1"/>
            </w14:solidFill>
          </w14:textFill>
        </w:rPr>
        <w:t>控制</w:t>
      </w:r>
      <w:r>
        <w:rPr>
          <w:color w:val="000000" w:themeColor="text1"/>
          <w14:textFill>
            <w14:solidFill>
              <w14:schemeClr w14:val="tx1"/>
            </w14:solidFill>
          </w14:textFill>
        </w:rPr>
        <w:t>自己所承担的风险。</w:t>
      </w:r>
    </w:p>
    <w:p w14:paraId="2F1B94B2">
      <w:pPr>
        <w:pStyle w:val="7"/>
        <w:ind w:firstLine="562"/>
        <w:rPr>
          <w:color w:val="000000" w:themeColor="text1"/>
          <w14:textFill>
            <w14:solidFill>
              <w14:schemeClr w14:val="tx1"/>
            </w14:solidFill>
          </w14:textFill>
        </w:rPr>
      </w:pPr>
      <w:r>
        <w:rPr>
          <w:color w:val="000000" w:themeColor="text1"/>
          <w14:textFill>
            <w14:solidFill>
              <w14:schemeClr w14:val="tx1"/>
            </w14:solidFill>
          </w14:textFill>
        </w:rPr>
        <w:t>风险分担方案</w:t>
      </w:r>
    </w:p>
    <w:p w14:paraId="50244B8D">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本项目的风险分配核心机制如下：项目融资、</w:t>
      </w:r>
      <w:r>
        <w:rPr>
          <w:rFonts w:hint="eastAsia"/>
          <w:color w:val="000000" w:themeColor="text1"/>
          <w:lang w:val="en-US" w:eastAsia="zh-CN"/>
          <w14:textFill>
            <w14:solidFill>
              <w14:schemeClr w14:val="tx1"/>
            </w14:solidFill>
          </w14:textFill>
        </w:rPr>
        <w:t>前期准备、</w:t>
      </w:r>
      <w:r>
        <w:rPr>
          <w:color w:val="000000" w:themeColor="text1"/>
          <w14:textFill>
            <w14:solidFill>
              <w14:schemeClr w14:val="tx1"/>
            </w14:solidFill>
          </w14:textFill>
        </w:rPr>
        <w:t>建设、运营、维护、移交等风险主要由社会资本/项目公司承担，</w:t>
      </w:r>
      <w:r>
        <w:rPr>
          <w:rFonts w:hint="eastAsia"/>
          <w:color w:val="000000" w:themeColor="text1"/>
          <w14:textFill>
            <w14:solidFill>
              <w14:schemeClr w14:val="tx1"/>
            </w14:solidFill>
          </w14:textFill>
        </w:rPr>
        <w:t>市级政府可控的</w:t>
      </w:r>
      <w:r>
        <w:rPr>
          <w:color w:val="000000" w:themeColor="text1"/>
          <w14:textFill>
            <w14:solidFill>
              <w14:schemeClr w14:val="tx1"/>
            </w14:solidFill>
          </w14:textFill>
        </w:rPr>
        <w:t>法律</w:t>
      </w:r>
      <w:r>
        <w:rPr>
          <w:rFonts w:hint="eastAsia"/>
          <w:color w:val="000000" w:themeColor="text1"/>
          <w14:textFill>
            <w14:solidFill>
              <w14:schemeClr w14:val="tx1"/>
            </w14:solidFill>
          </w14:textFill>
        </w:rPr>
        <w:t>法规及标准变更、</w:t>
      </w:r>
      <w:r>
        <w:rPr>
          <w:color w:val="000000" w:themeColor="text1"/>
          <w14:textFill>
            <w14:solidFill>
              <w14:schemeClr w14:val="tx1"/>
            </w14:solidFill>
          </w14:textFill>
        </w:rPr>
        <w:t>政治等风险由政府承担，不可抗力</w:t>
      </w:r>
      <w:r>
        <w:rPr>
          <w:rFonts w:hint="eastAsia"/>
          <w:color w:val="000000" w:themeColor="text1"/>
          <w14:textFill>
            <w14:solidFill>
              <w14:schemeClr w14:val="tx1"/>
            </w14:solidFill>
          </w14:textFill>
        </w:rPr>
        <w:t>、市级政府不可控的</w:t>
      </w:r>
      <w:r>
        <w:rPr>
          <w:color w:val="000000" w:themeColor="text1"/>
          <w14:textFill>
            <w14:solidFill>
              <w14:schemeClr w14:val="tx1"/>
            </w14:solidFill>
          </w14:textFill>
        </w:rPr>
        <w:t>法律</w:t>
      </w:r>
      <w:r>
        <w:rPr>
          <w:rFonts w:hint="eastAsia"/>
          <w:color w:val="000000" w:themeColor="text1"/>
          <w14:textFill>
            <w14:solidFill>
              <w14:schemeClr w14:val="tx1"/>
            </w14:solidFill>
          </w14:textFill>
        </w:rPr>
        <w:t>法规及标准变更</w:t>
      </w:r>
      <w:r>
        <w:rPr>
          <w:color w:val="000000" w:themeColor="text1"/>
          <w14:textFill>
            <w14:solidFill>
              <w14:schemeClr w14:val="tx1"/>
            </w14:solidFill>
          </w14:textFill>
        </w:rPr>
        <w:t>等风险由政府和社会资本/项目公司双方共担。</w:t>
      </w:r>
    </w:p>
    <w:p w14:paraId="1B7346BA">
      <w:pPr>
        <w:ind w:firstLine="560" w:firstLineChars="200"/>
        <w:rPr>
          <w:rFonts w:hint="eastAsia" w:ascii="黑体" w:hAnsi="黑体" w:cs="黑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本项目的风险分配基本框架如下表所示：</w:t>
      </w:r>
      <w:r>
        <w:rPr>
          <w:rFonts w:hint="eastAsia" w:ascii="黑体" w:hAnsi="黑体" w:cs="黑体"/>
          <w:color w:val="000000" w:themeColor="text1"/>
          <w:sz w:val="21"/>
          <w:szCs w:val="21"/>
          <w14:textFill>
            <w14:solidFill>
              <w14:schemeClr w14:val="tx1"/>
            </w14:solidFill>
          </w14:textFill>
        </w:rPr>
        <w:br w:type="page"/>
      </w:r>
    </w:p>
    <w:p w14:paraId="306D13A1">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项目风险分配表</w:t>
      </w:r>
    </w:p>
    <w:tbl>
      <w:tblPr>
        <w:tblStyle w:val="25"/>
        <w:tblW w:w="83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921"/>
        <w:gridCol w:w="1640"/>
        <w:gridCol w:w="1011"/>
        <w:gridCol w:w="1011"/>
        <w:gridCol w:w="811"/>
        <w:gridCol w:w="2018"/>
      </w:tblGrid>
      <w:tr w14:paraId="63A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jc w:val="center"/>
        </w:trPr>
        <w:tc>
          <w:tcPr>
            <w:tcW w:w="920" w:type="dxa"/>
            <w:vMerge w:val="restart"/>
            <w:tcBorders>
              <w:top w:val="single" w:color="000000" w:sz="12" w:space="0"/>
              <w:left w:val="single" w:color="000000" w:sz="12" w:space="0"/>
              <w:bottom w:val="single" w:color="000000" w:sz="8" w:space="0"/>
              <w:right w:val="single" w:color="000000" w:sz="8" w:space="0"/>
            </w:tcBorders>
            <w:shd w:val="clear" w:color="auto" w:fill="BDD6EE"/>
            <w:vAlign w:val="center"/>
          </w:tcPr>
          <w:p w14:paraId="36E336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21" w:type="dxa"/>
            <w:vMerge w:val="restart"/>
            <w:tcBorders>
              <w:top w:val="single" w:color="000000" w:sz="12" w:space="0"/>
              <w:left w:val="single" w:color="000000" w:sz="8" w:space="0"/>
              <w:bottom w:val="single" w:color="000000" w:sz="8" w:space="0"/>
              <w:right w:val="single" w:color="000000" w:sz="8" w:space="0"/>
            </w:tcBorders>
            <w:shd w:val="clear" w:color="auto" w:fill="BDD6EE"/>
            <w:vAlign w:val="center"/>
          </w:tcPr>
          <w:p w14:paraId="5BAF36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类别</w:t>
            </w:r>
          </w:p>
        </w:tc>
        <w:tc>
          <w:tcPr>
            <w:tcW w:w="1640" w:type="dxa"/>
            <w:vMerge w:val="restart"/>
            <w:tcBorders>
              <w:top w:val="single" w:color="000000" w:sz="12" w:space="0"/>
              <w:left w:val="single" w:color="000000" w:sz="8" w:space="0"/>
              <w:bottom w:val="single" w:color="000000" w:sz="8" w:space="0"/>
              <w:right w:val="single" w:color="000000" w:sz="8" w:space="0"/>
            </w:tcBorders>
            <w:shd w:val="clear" w:color="auto" w:fill="BDD6EE"/>
            <w:vAlign w:val="center"/>
          </w:tcPr>
          <w:p w14:paraId="12644D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主要风险</w:t>
            </w:r>
          </w:p>
        </w:tc>
        <w:tc>
          <w:tcPr>
            <w:tcW w:w="2833" w:type="dxa"/>
            <w:gridSpan w:val="3"/>
            <w:tcBorders>
              <w:top w:val="single" w:color="000000" w:sz="12" w:space="0"/>
              <w:left w:val="single" w:color="000000" w:sz="8" w:space="0"/>
              <w:bottom w:val="single" w:color="000000" w:sz="8" w:space="0"/>
              <w:right w:val="single" w:color="000000" w:sz="8" w:space="0"/>
            </w:tcBorders>
            <w:shd w:val="clear" w:color="auto" w:fill="BDD6EE"/>
            <w:vAlign w:val="center"/>
          </w:tcPr>
          <w:p w14:paraId="61C24C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风险主要承担方</w:t>
            </w:r>
          </w:p>
        </w:tc>
        <w:tc>
          <w:tcPr>
            <w:tcW w:w="2018" w:type="dxa"/>
            <w:vMerge w:val="restart"/>
            <w:tcBorders>
              <w:top w:val="single" w:color="000000" w:sz="12" w:space="0"/>
              <w:left w:val="single" w:color="000000" w:sz="8" w:space="0"/>
              <w:bottom w:val="single" w:color="000000" w:sz="8" w:space="0"/>
              <w:right w:val="single" w:color="000000" w:sz="12" w:space="0"/>
            </w:tcBorders>
            <w:shd w:val="clear" w:color="auto" w:fill="BDD6EE"/>
            <w:vAlign w:val="center"/>
          </w:tcPr>
          <w:p w14:paraId="4D6126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政府方风险预防措施</w:t>
            </w:r>
          </w:p>
        </w:tc>
      </w:tr>
      <w:tr w14:paraId="6178A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jc w:val="center"/>
        </w:trPr>
        <w:tc>
          <w:tcPr>
            <w:tcW w:w="920" w:type="dxa"/>
            <w:vMerge w:val="continue"/>
            <w:tcBorders>
              <w:top w:val="single" w:color="000000" w:sz="12" w:space="0"/>
              <w:left w:val="single" w:color="000000" w:sz="12" w:space="0"/>
              <w:bottom w:val="single" w:color="000000" w:sz="8" w:space="0"/>
              <w:right w:val="single" w:color="000000" w:sz="8" w:space="0"/>
            </w:tcBorders>
            <w:shd w:val="clear" w:color="auto" w:fill="BDD6EE"/>
            <w:vAlign w:val="center"/>
          </w:tcPr>
          <w:p w14:paraId="3E8C005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12" w:space="0"/>
              <w:left w:val="single" w:color="000000" w:sz="8" w:space="0"/>
              <w:bottom w:val="single" w:color="000000" w:sz="8" w:space="0"/>
              <w:right w:val="single" w:color="000000" w:sz="8" w:space="0"/>
            </w:tcBorders>
            <w:shd w:val="clear" w:color="auto" w:fill="BDD6EE"/>
            <w:vAlign w:val="center"/>
          </w:tcPr>
          <w:p w14:paraId="29879BE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12" w:space="0"/>
              <w:left w:val="single" w:color="000000" w:sz="8" w:space="0"/>
              <w:bottom w:val="single" w:color="000000" w:sz="8" w:space="0"/>
              <w:right w:val="single" w:color="000000" w:sz="8" w:space="0"/>
            </w:tcBorders>
            <w:shd w:val="clear" w:color="auto" w:fill="BDD6EE"/>
            <w:vAlign w:val="center"/>
          </w:tcPr>
          <w:p w14:paraId="2675AA6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BDD6EE"/>
            <w:vAlign w:val="center"/>
          </w:tcPr>
          <w:p w14:paraId="2DFC65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政府方</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BDD6EE"/>
            <w:vAlign w:val="center"/>
          </w:tcPr>
          <w:p w14:paraId="2DB43A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社会资本/项目公司</w:t>
            </w:r>
          </w:p>
        </w:tc>
        <w:tc>
          <w:tcPr>
            <w:tcW w:w="811" w:type="dxa"/>
            <w:tcBorders>
              <w:top w:val="single" w:color="000000" w:sz="8" w:space="0"/>
              <w:left w:val="single" w:color="000000" w:sz="8" w:space="0"/>
              <w:bottom w:val="nil"/>
              <w:right w:val="single" w:color="000000" w:sz="8" w:space="0"/>
            </w:tcBorders>
            <w:shd w:val="clear" w:color="auto" w:fill="BDD6EE"/>
            <w:vAlign w:val="center"/>
          </w:tcPr>
          <w:p w14:paraId="31D4B2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双方</w:t>
            </w:r>
          </w:p>
        </w:tc>
        <w:tc>
          <w:tcPr>
            <w:tcW w:w="2018" w:type="dxa"/>
            <w:vMerge w:val="continue"/>
            <w:tcBorders>
              <w:top w:val="single" w:color="000000" w:sz="12" w:space="0"/>
              <w:left w:val="single" w:color="000000" w:sz="8" w:space="0"/>
              <w:bottom w:val="single" w:color="000000" w:sz="8" w:space="0"/>
              <w:right w:val="single" w:color="000000" w:sz="12" w:space="0"/>
            </w:tcBorders>
            <w:shd w:val="clear" w:color="auto" w:fill="BDD6EE"/>
            <w:vAlign w:val="center"/>
          </w:tcPr>
          <w:p w14:paraId="6DCC7EE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92A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jc w:val="center"/>
        </w:trPr>
        <w:tc>
          <w:tcPr>
            <w:tcW w:w="920" w:type="dxa"/>
            <w:vMerge w:val="continue"/>
            <w:tcBorders>
              <w:top w:val="single" w:color="000000" w:sz="12" w:space="0"/>
              <w:left w:val="single" w:color="000000" w:sz="12" w:space="0"/>
              <w:bottom w:val="single" w:color="000000" w:sz="8" w:space="0"/>
              <w:right w:val="single" w:color="000000" w:sz="8" w:space="0"/>
            </w:tcBorders>
            <w:shd w:val="clear" w:color="auto" w:fill="BDD6EE"/>
            <w:vAlign w:val="center"/>
          </w:tcPr>
          <w:p w14:paraId="3A8CEB2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12" w:space="0"/>
              <w:left w:val="single" w:color="000000" w:sz="8" w:space="0"/>
              <w:bottom w:val="single" w:color="000000" w:sz="8" w:space="0"/>
              <w:right w:val="single" w:color="000000" w:sz="8" w:space="0"/>
            </w:tcBorders>
            <w:shd w:val="clear" w:color="auto" w:fill="BDD6EE"/>
            <w:vAlign w:val="center"/>
          </w:tcPr>
          <w:p w14:paraId="4568388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12" w:space="0"/>
              <w:left w:val="single" w:color="000000" w:sz="8" w:space="0"/>
              <w:bottom w:val="single" w:color="000000" w:sz="8" w:space="0"/>
              <w:right w:val="single" w:color="000000" w:sz="8" w:space="0"/>
            </w:tcBorders>
            <w:shd w:val="clear" w:color="auto" w:fill="BDD6EE"/>
            <w:vAlign w:val="center"/>
          </w:tcPr>
          <w:p w14:paraId="12D2935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BDD6EE"/>
            <w:vAlign w:val="center"/>
          </w:tcPr>
          <w:p w14:paraId="69FAFEC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BDD6EE"/>
            <w:vAlign w:val="center"/>
          </w:tcPr>
          <w:p w14:paraId="4F505FF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nil"/>
              <w:left w:val="single" w:color="000000" w:sz="8" w:space="0"/>
              <w:bottom w:val="single" w:color="000000" w:sz="8" w:space="0"/>
              <w:right w:val="single" w:color="000000" w:sz="8" w:space="0"/>
            </w:tcBorders>
            <w:shd w:val="clear" w:color="auto" w:fill="BDD6EE"/>
            <w:vAlign w:val="center"/>
          </w:tcPr>
          <w:p w14:paraId="7844B3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共担</w:t>
            </w:r>
          </w:p>
        </w:tc>
        <w:tc>
          <w:tcPr>
            <w:tcW w:w="2018" w:type="dxa"/>
            <w:vMerge w:val="continue"/>
            <w:tcBorders>
              <w:top w:val="single" w:color="000000" w:sz="12" w:space="0"/>
              <w:left w:val="single" w:color="000000" w:sz="8" w:space="0"/>
              <w:bottom w:val="single" w:color="000000" w:sz="8" w:space="0"/>
              <w:right w:val="single" w:color="000000" w:sz="12" w:space="0"/>
            </w:tcBorders>
            <w:shd w:val="clear" w:color="auto" w:fill="BDD6EE"/>
            <w:vAlign w:val="center"/>
          </w:tcPr>
          <w:p w14:paraId="657AE69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E89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4A54B7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0E209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融资风险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C47B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融资金额不足</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5128A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EFB7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6AA1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6A3788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严格挑选融资能力强的社会资本，将融资风险纳入特许经营协议体系，设置合理的履约保函金额。社会资本/项目公司可以通过利用利率衍生工具进行利率风险管理。</w:t>
            </w:r>
          </w:p>
        </w:tc>
      </w:tr>
      <w:tr w14:paraId="4769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E661E3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85555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C6C3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融资利率超过预期</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155F3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6F2D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9C5FD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1D11CF2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DDDD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8836A5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F2F5C5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C011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项目后续再融资不确定性（项目公司原因）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80611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B48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909B2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822C1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若由于项目公司原因提出的项目变更导致的项目公司所需融资金额增加，增加部分由项目公司自行承担（根据《政府投资条例（2019年）》，增加金额不得超过已核准的《项目申请报告》投资估算的10%）。</w:t>
            </w:r>
          </w:p>
        </w:tc>
      </w:tr>
      <w:tr w14:paraId="2E5B1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22B783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36B00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10D7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项目后续再融资不确定性（政府原因）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4240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6337C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2DF84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B00E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若由于政府原因提出的项目变更导致的项目公司所需融资金额增加，增加部分由项目公司负责融资，增加金额计入项目总投资（根据《政府投资条例（2019年）》，增加金额不得超过已核准的《项目申请报告》投资估算的10%）。</w:t>
            </w:r>
          </w:p>
        </w:tc>
      </w:tr>
      <w:tr w14:paraId="2A402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662433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CC85F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前期准备风险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85BB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土地取得风险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6EE8F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94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B29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425518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项目公司应提前做好项目用地手续以及其他各项前期工作手续办理。</w:t>
            </w:r>
          </w:p>
        </w:tc>
      </w:tr>
      <w:tr w14:paraId="2544F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68E45E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890DD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5E8F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选址不当风险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3DD5E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D27C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2310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3140473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55E6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7E1B74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21D0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626F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项目公司取得前期工作手续风险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B4320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358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3AE0A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51F15ED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4F87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3C8B77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72387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建设风险</w:t>
            </w: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1BDE8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勘察设计不当</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C8F276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0C6A5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07F375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1B29B2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项目公司负责勘察设计工作，相应风险由项目公司承担。</w:t>
            </w:r>
          </w:p>
        </w:tc>
      </w:tr>
      <w:tr w14:paraId="2E9AD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ED9FB9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4E683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A2470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0132BC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14833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3B5A1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1C07BE0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0CE3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B0F48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34345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EFD0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未按设计文件建设</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3C9B2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71E4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E95F3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659E7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因项目公司原因，导致未按设计文件进行建设，相应风险由项目公司承担。</w:t>
            </w:r>
          </w:p>
        </w:tc>
      </w:tr>
      <w:tr w14:paraId="057DB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3E4C03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2D3F2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55CE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土地使用</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F0CF5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8198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DB8BF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AAF58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未经政府方书面同意，项目公司不得变更项目设施建设用地所涉及的任何土地的用途，不得对外转让、出租、出借、单独用于抵押或提供融资担保及在其上设置任何他方权利，也不得用于项目之外的任何目的。</w:t>
            </w:r>
          </w:p>
        </w:tc>
      </w:tr>
      <w:tr w14:paraId="53F3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294055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6DF40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E368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承包商违约</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57CD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A81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AC80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5B17B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建立合理处罚机制。</w:t>
            </w:r>
          </w:p>
        </w:tc>
      </w:tr>
      <w:tr w14:paraId="5381B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4912A8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CA5B2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0A86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项目设计评审或审批（初步设计、施工图设计等，政府原因）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67793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1C2D7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35931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0565E6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强化组织内部管理，加速整理并组织评审或审批。</w:t>
            </w:r>
          </w:p>
        </w:tc>
      </w:tr>
      <w:tr w14:paraId="6CD83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B40BAB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DD3F2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CBA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项目设计评审或审批（初步设计、施工图设计等，项目公司原因）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C057F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734A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2E68A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B8C51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如因项目公司未及时、完整提供应由其提供的合规文件，导致设计评审或审批延误，相应风险由项目公司承担。</w:t>
            </w:r>
          </w:p>
        </w:tc>
      </w:tr>
      <w:tr w14:paraId="2BB6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5CA15C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F25C4F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27D0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项目建设审批（规划、环评、质监、安监、施工许可等手续，政府原因）</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CDF14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80C414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D2EAD5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255B70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由政府方与政府相关主管部门（发改、国土、规划、环境保护等）建立协调机制。</w:t>
            </w:r>
          </w:p>
        </w:tc>
      </w:tr>
      <w:tr w14:paraId="18DB9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B3C082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72A6F3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073C07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C512B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2FFD8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98E3D3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3D40398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38D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BF3E4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B1CD9E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8F7D9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B6A710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5F3613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AD3B5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761DEC1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C298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B20565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26816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610C1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F7BF86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7AFA7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F23FCA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56783E1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5C6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355489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3461D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4A88F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B8DF64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A64A5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5781E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01568A1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DAF5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546A62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8F7A7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B5C68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项目建设审批（规划、环评、质监、安监、施工许可等手续，项目公司原因）</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8BE5FBE">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EAAB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F14D90C">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1896F4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在项目合法合规手续完备的情况下，如因项目公司未及时、完整提供应由其提供的合规文件，导致设计审批延误，相应风险由项目公司承担。</w:t>
            </w:r>
          </w:p>
        </w:tc>
      </w:tr>
      <w:tr w14:paraId="16D8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CBFA8F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21838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6FAC9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9090466">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0BD746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4D0ED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0259E49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EB27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B65447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3920D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D334C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A7347C">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7DCDB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7C3872">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028E226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7265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B89C05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98576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7BCDC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AB2BEA">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5B189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E033C6">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75BBB99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D23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150387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20C73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4CA45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D984A9C">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CC1B2B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1B53D5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58B831E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28EE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34E7576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9654E8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11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工程变更（政府原因）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FAE9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466E8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AE152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DCB3A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确保标准制定的前瞻性；建立合理的补偿机制。</w:t>
            </w:r>
          </w:p>
        </w:tc>
      </w:tr>
      <w:tr w14:paraId="35FE1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92AC33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B1101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4330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工程变更（项目公司原因）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B8641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A2A6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6392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E7878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对变更方案及施工过程进行审查和监督，设置变更认定机制。</w:t>
            </w:r>
          </w:p>
        </w:tc>
      </w:tr>
      <w:tr w14:paraId="4D66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E128D4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11664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A59F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施工成本上涨（标准、规范变更、物价上涨等）</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2775E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40CD6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F7583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B1137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建立合理的调整机制。</w:t>
            </w:r>
          </w:p>
        </w:tc>
      </w:tr>
      <w:tr w14:paraId="07EA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537C61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3BF8F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EC03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施工成本上涨（管理不善）</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E4C37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4524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B34EB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14D2B0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对建设方案及施工过程进行审查和监督；设立建设履约保函。</w:t>
            </w:r>
          </w:p>
        </w:tc>
      </w:tr>
      <w:tr w14:paraId="72F91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55EA28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01EB3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F48B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工期延误（建设审批；审批违反适用法律规定的审批时限）</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17E8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68682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AFBA5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D54B6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责任落实到相关部门。</w:t>
            </w:r>
          </w:p>
        </w:tc>
      </w:tr>
      <w:tr w14:paraId="12C7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D578F0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84F2A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7F0E5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工期延误（项目公司原因）</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DF7959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A6FCA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9CE6FB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2230E3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对建设方案及施工过程进行审查和监督；设立建设履约保函。</w:t>
            </w:r>
          </w:p>
        </w:tc>
      </w:tr>
      <w:tr w14:paraId="2C534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F28F0B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0A74A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B6F23C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36559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0D8631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0F18E9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4267ED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F623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0235AC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26570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13147C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DA1D49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DD620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F32F1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5058D1B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468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B52B62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C4783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2645A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C5371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A787F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3ECFA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22B9D26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9C7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1B6DD3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DCFF0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15E39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FA6F4A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B5FBB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891D9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3E97192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251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49C4C9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A1568B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BB16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施工技术不当</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F7AED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A12F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9E7DD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0A04599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7753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3059CE1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B1EE07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36E0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工程质量不达标</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A2786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237B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6F659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6951618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99F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9C8AC4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DD091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9D4F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环境污染或破坏</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B1184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2F4F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065C9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7BA99CF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B57C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405797A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F021EA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0BE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工地安全事故</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3B11F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C7FD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628B1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69DB767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128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9618AE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566EB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ECDB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分包商违约</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4E24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C1D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DE14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695CF2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项目公司就其选择的分包商、代理人或雇用的任何人的任何职务行为，对政府承担全部的责任。</w:t>
            </w:r>
          </w:p>
        </w:tc>
      </w:tr>
      <w:tr w14:paraId="029F6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0054C1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9CF896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运营风险</w:t>
            </w: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33B1D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运营维护成本上涨（市级政府可控的标准变更）</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7EC2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C97E52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B5B080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nil"/>
              <w:right w:val="single" w:color="000000" w:sz="12" w:space="0"/>
            </w:tcBorders>
            <w:shd w:val="clear" w:color="auto" w:fill="auto"/>
            <w:vAlign w:val="center"/>
          </w:tcPr>
          <w:p w14:paraId="35E7029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6677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50437C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EDFE2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524938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A13B2E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7E987B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A7DE35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nil"/>
              <w:left w:val="single" w:color="000000" w:sz="8" w:space="0"/>
              <w:bottom w:val="nil"/>
              <w:right w:val="single" w:color="000000" w:sz="12" w:space="0"/>
            </w:tcBorders>
            <w:shd w:val="clear" w:color="auto" w:fill="auto"/>
            <w:vAlign w:val="center"/>
          </w:tcPr>
          <w:p w14:paraId="26822D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确保标准制定具有前瞻性；建立合理的一般补偿机制。</w:t>
            </w:r>
          </w:p>
        </w:tc>
      </w:tr>
      <w:tr w14:paraId="467F8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1C6278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6F21EE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2F5EA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73D5C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0D003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824877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nil"/>
              <w:left w:val="single" w:color="000000" w:sz="8" w:space="0"/>
              <w:bottom w:val="single" w:color="000000" w:sz="8" w:space="0"/>
              <w:right w:val="single" w:color="000000" w:sz="12" w:space="0"/>
            </w:tcBorders>
            <w:shd w:val="clear" w:color="auto" w:fill="auto"/>
            <w:vAlign w:val="center"/>
          </w:tcPr>
          <w:p w14:paraId="2D7E4AA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4B84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F7D24A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575D46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7F5A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运营维护成本上涨（市级政府不可控的标准变更）</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898FEE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64FAE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7B050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50819E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双方共担。</w:t>
            </w:r>
          </w:p>
        </w:tc>
      </w:tr>
      <w:tr w14:paraId="1CE6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DE91FB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20E36F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D4E359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94F843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2F5A0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F1B77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4EDEF10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B54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007A2F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3B2CEA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74761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31EAB6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7FD55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40326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6F9B4CD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1B47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F6CC87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F1A0D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6B1AB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运营违约（政府违约）</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B00C8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7A65D7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981BE1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7ED82E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强化组织内部管理。</w:t>
            </w:r>
          </w:p>
        </w:tc>
      </w:tr>
      <w:tr w14:paraId="103F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B8FF04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6A95C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5765A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567F8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AAC3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84B33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3DF1691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575B1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327BB6C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C893C4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DF810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B015CC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7E2796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FF3E80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4EEA162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7316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892D6E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02CC3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51AF9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运营维护成本上涨（通货膨胀等市场原因）</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9AAB55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9E3F8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9B7F1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vMerge w:val="restart"/>
            <w:tcBorders>
              <w:top w:val="single" w:color="000000" w:sz="8" w:space="0"/>
              <w:left w:val="single" w:color="000000" w:sz="8" w:space="0"/>
              <w:bottom w:val="nil"/>
              <w:right w:val="single" w:color="000000" w:sz="12" w:space="0"/>
            </w:tcBorders>
            <w:shd w:val="clear" w:color="auto" w:fill="auto"/>
            <w:vAlign w:val="center"/>
          </w:tcPr>
          <w:p w14:paraId="1E2F67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严格挑选运营水平强的社会资本；建立合理的周期调整机制；加强运营过程的监督、检查；建立有效合理的绩效考核机制；设立运营维护保函。</w:t>
            </w:r>
          </w:p>
        </w:tc>
      </w:tr>
      <w:tr w14:paraId="6BFB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FC274E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AD981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0A9C1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A61995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A1540D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C5FD8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0F54A22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4DB3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15E185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E1483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5B8AB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861550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2A50E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10BF06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49DCF25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5C4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337BFD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E7FF1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170554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2E6FB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236444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900CBD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529F721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E58C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4B6A245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B8A15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20094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A271F0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2E8E43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167B5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193A812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944C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98C3DC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C28214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81F42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2E614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31F552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1E510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64CD9EFC">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BC26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39026B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0266FE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43DAA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DC14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2A01B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EB51C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nil"/>
              <w:right w:val="single" w:color="000000" w:sz="12" w:space="0"/>
            </w:tcBorders>
            <w:shd w:val="clear" w:color="auto" w:fill="auto"/>
            <w:vAlign w:val="center"/>
          </w:tcPr>
          <w:p w14:paraId="1775D54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791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3B8A3BB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6A54D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2482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辅助材料供应不足</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23C59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9E2D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962D1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nil"/>
              <w:left w:val="single" w:color="000000" w:sz="8" w:space="0"/>
              <w:bottom w:val="single" w:color="000000" w:sz="8" w:space="0"/>
              <w:right w:val="single" w:color="000000" w:sz="12" w:space="0"/>
            </w:tcBorders>
            <w:shd w:val="clear" w:color="auto" w:fill="auto"/>
            <w:vAlign w:val="center"/>
          </w:tcPr>
          <w:p w14:paraId="0DB6FF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由项目公司利用保险，制定分担机制。</w:t>
            </w:r>
          </w:p>
        </w:tc>
      </w:tr>
      <w:tr w14:paraId="4521C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4262F0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BD424F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7AA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运营维护成本上涨（运营管理水平低等项目公司原因）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660E7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5CB5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7CCA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nil"/>
              <w:left w:val="single" w:color="000000" w:sz="8" w:space="0"/>
              <w:bottom w:val="single" w:color="000000" w:sz="8" w:space="0"/>
              <w:right w:val="single" w:color="000000" w:sz="12" w:space="0"/>
            </w:tcBorders>
            <w:shd w:val="clear" w:color="auto" w:fill="auto"/>
            <w:vAlign w:val="center"/>
          </w:tcPr>
          <w:p w14:paraId="76E8E39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F6F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FAE809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1513AB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5032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造成环境污染或破坏</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0DE95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7E7D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76C67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nil"/>
              <w:left w:val="single" w:color="000000" w:sz="8" w:space="0"/>
              <w:bottom w:val="single" w:color="000000" w:sz="8" w:space="0"/>
              <w:right w:val="single" w:color="000000" w:sz="12" w:space="0"/>
            </w:tcBorders>
            <w:shd w:val="clear" w:color="auto" w:fill="auto"/>
            <w:vAlign w:val="center"/>
          </w:tcPr>
          <w:p w14:paraId="1861D63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3B8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BA47CE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98C98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9B25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运营质量不达标</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744E3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736F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8A7B9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nil"/>
              <w:left w:val="single" w:color="000000" w:sz="8" w:space="0"/>
              <w:bottom w:val="single" w:color="000000" w:sz="8" w:space="0"/>
              <w:right w:val="single" w:color="000000" w:sz="12" w:space="0"/>
            </w:tcBorders>
            <w:shd w:val="clear" w:color="auto" w:fill="auto"/>
            <w:vAlign w:val="center"/>
          </w:tcPr>
          <w:p w14:paraId="22C0B43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7D0BA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4D1F5BE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2BC00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44D0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运营违约（项目公司违约）</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6E12D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8DD1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AC4FE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nil"/>
              <w:left w:val="single" w:color="000000" w:sz="8" w:space="0"/>
              <w:bottom w:val="single" w:color="000000" w:sz="8" w:space="0"/>
              <w:right w:val="single" w:color="000000" w:sz="12" w:space="0"/>
            </w:tcBorders>
            <w:shd w:val="clear" w:color="auto" w:fill="auto"/>
            <w:vAlign w:val="center"/>
          </w:tcPr>
          <w:p w14:paraId="7B595E6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0F3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EA713A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150954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2295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运营维护安全（项目公司原因）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DA39B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6BE2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FFB21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nil"/>
              <w:left w:val="single" w:color="000000" w:sz="8" w:space="0"/>
              <w:bottom w:val="single" w:color="000000" w:sz="8" w:space="0"/>
              <w:right w:val="single" w:color="000000" w:sz="12" w:space="0"/>
            </w:tcBorders>
            <w:shd w:val="clear" w:color="auto" w:fill="auto"/>
            <w:vAlign w:val="center"/>
          </w:tcPr>
          <w:p w14:paraId="0E27CE2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D10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3F08B51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153B4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B1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运营维护安全（政府原因）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381D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C7403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7F29E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6F7FF4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由政府原因导致的运营维护安全风险由政府承担。</w:t>
            </w:r>
          </w:p>
        </w:tc>
      </w:tr>
      <w:tr w14:paraId="3A4BE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right w:val="single" w:color="000000" w:sz="8" w:space="0"/>
            </w:tcBorders>
            <w:shd w:val="clear" w:color="auto" w:fill="auto"/>
            <w:vAlign w:val="center"/>
          </w:tcPr>
          <w:p w14:paraId="4830E40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restart"/>
            <w:tcBorders>
              <w:top w:val="single" w:color="000000" w:sz="8" w:space="0"/>
              <w:left w:val="single" w:color="000000" w:sz="8" w:space="0"/>
              <w:right w:val="single" w:color="000000" w:sz="8" w:space="0"/>
            </w:tcBorders>
            <w:shd w:val="clear" w:color="auto" w:fill="auto"/>
            <w:vAlign w:val="center"/>
          </w:tcPr>
          <w:p w14:paraId="7EE06FC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3C8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垃圾处理量不足的风险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F3AB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A737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0B3C8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516A2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p>
        </w:tc>
      </w:tr>
      <w:tr w14:paraId="63782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left w:val="single" w:color="000000" w:sz="12" w:space="0"/>
              <w:bottom w:val="single" w:color="000000" w:sz="8" w:space="0"/>
              <w:right w:val="single" w:color="000000" w:sz="8" w:space="0"/>
            </w:tcBorders>
            <w:shd w:val="clear" w:color="auto" w:fill="auto"/>
            <w:vAlign w:val="center"/>
          </w:tcPr>
          <w:p w14:paraId="65553EE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left w:val="single" w:color="000000" w:sz="8" w:space="0"/>
              <w:bottom w:val="single" w:color="000000" w:sz="8" w:space="0"/>
              <w:right w:val="single" w:color="000000" w:sz="8" w:space="0"/>
            </w:tcBorders>
            <w:shd w:val="clear" w:color="auto" w:fill="auto"/>
            <w:vAlign w:val="center"/>
          </w:tcPr>
          <w:p w14:paraId="7C720FD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E830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上网发电省补不能到位风险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745F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320B7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55CD7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27840F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u w:val="none"/>
                <w:lang w:val="en-US" w:eastAsia="zh-CN" w:bidi="ar"/>
              </w:rPr>
            </w:pPr>
          </w:p>
        </w:tc>
      </w:tr>
      <w:tr w14:paraId="19D89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2368E6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14F18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2CCB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移交时税费风险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B4D5C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1273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51E1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D4516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移交时根据届时税法各自承担相应税费。</w:t>
            </w:r>
          </w:p>
        </w:tc>
      </w:tr>
      <w:tr w14:paraId="21B47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51BE17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17EBC9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EF67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移交条件不达标</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57BA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C24D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501F2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44A0A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设立移交维修保函。</w:t>
            </w:r>
          </w:p>
        </w:tc>
      </w:tr>
      <w:tr w14:paraId="6307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7074D70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C48468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BD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移交费用超预算</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32FDB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BDC2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59E0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47DE88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设立移交维修保函。</w:t>
            </w:r>
          </w:p>
        </w:tc>
      </w:tr>
      <w:tr w14:paraId="16336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11B47C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EF6AD3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nil"/>
              <w:right w:val="single" w:color="000000" w:sz="8" w:space="0"/>
            </w:tcBorders>
            <w:shd w:val="clear" w:color="auto" w:fill="auto"/>
            <w:vAlign w:val="center"/>
          </w:tcPr>
          <w:p w14:paraId="7CF24C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移交后一年内设施质量问题</w:t>
            </w: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22E076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D46E5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1DDF71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6837DB8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1E530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E4250C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5F39D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nil"/>
              <w:left w:val="single" w:color="000000" w:sz="8" w:space="0"/>
              <w:bottom w:val="single" w:color="000000" w:sz="8" w:space="0"/>
              <w:right w:val="single" w:color="000000" w:sz="8" w:space="0"/>
            </w:tcBorders>
            <w:shd w:val="clear" w:color="auto" w:fill="auto"/>
            <w:vAlign w:val="center"/>
          </w:tcPr>
          <w:p w14:paraId="61172C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（政府原因导致的除外）</w:t>
            </w: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B32B6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834E58A">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291BE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366E579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6C44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42E82E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63AFE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政治风险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DDBE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政府信用</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C8F4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C1CEA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4FF3B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restart"/>
            <w:tcBorders>
              <w:top w:val="single" w:color="000000" w:sz="8" w:space="0"/>
              <w:left w:val="single" w:color="000000" w:sz="8" w:space="0"/>
              <w:bottom w:val="single" w:color="000000" w:sz="8" w:space="0"/>
              <w:right w:val="single" w:color="000000" w:sz="12" w:space="0"/>
            </w:tcBorders>
            <w:shd w:val="clear" w:color="auto" w:fill="auto"/>
            <w:vAlign w:val="center"/>
          </w:tcPr>
          <w:p w14:paraId="1672E1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政府加强内部组织管理；可通过动态的合同体系调整，签订补充协议。</w:t>
            </w:r>
          </w:p>
        </w:tc>
      </w:tr>
      <w:tr w14:paraId="62D2A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44327E7">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F9C1A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70E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政府决策过程冗长</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555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FC6D8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3D0E63">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463F8DF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281C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604132C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B2165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1ACD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政府征收</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F89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787BB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8918B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0EA849D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44669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AEB9BB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35F908">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29CE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公众反对（规划等政府原因）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49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892D1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3FE631">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vMerge w:val="continue"/>
            <w:tcBorders>
              <w:top w:val="single" w:color="000000" w:sz="8" w:space="0"/>
              <w:left w:val="single" w:color="000000" w:sz="8" w:space="0"/>
              <w:bottom w:val="single" w:color="000000" w:sz="8" w:space="0"/>
              <w:right w:val="single" w:color="000000" w:sz="12" w:space="0"/>
            </w:tcBorders>
            <w:shd w:val="clear" w:color="auto" w:fill="auto"/>
            <w:vAlign w:val="center"/>
          </w:tcPr>
          <w:p w14:paraId="4A399DA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r>
      <w:tr w14:paraId="3F4A4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5EA67CC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7B2E6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9CC1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公众反对（建设、运营等项目公司原因）</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C95FC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821D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11C8D6">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73B2A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由项目公司对建设方案及建设和运营过程进行审查和监督，并设立履约保函。</w:t>
            </w:r>
          </w:p>
        </w:tc>
      </w:tr>
      <w:tr w14:paraId="734A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7C155F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3D4BD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法律法规风险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6E32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市级政府可控的法律法规变更</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F684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27BC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9C1355">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7F0FD2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建立合理的一般补偿机制。</w:t>
            </w:r>
          </w:p>
        </w:tc>
      </w:tr>
      <w:tr w14:paraId="58C9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2EF54BF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12E44BE">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38B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市级政府不可控的法律法规变更</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D44B0">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8ED5ED">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BA95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38CD1F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双方共担。</w:t>
            </w:r>
          </w:p>
        </w:tc>
      </w:tr>
      <w:tr w14:paraId="6D0AF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restart"/>
            <w:tcBorders>
              <w:top w:val="single" w:color="000000" w:sz="8" w:space="0"/>
              <w:left w:val="single" w:color="000000" w:sz="12" w:space="0"/>
              <w:bottom w:val="single" w:color="000000" w:sz="8" w:space="0"/>
              <w:right w:val="single" w:color="000000" w:sz="8" w:space="0"/>
            </w:tcBorders>
            <w:shd w:val="clear" w:color="auto" w:fill="auto"/>
            <w:vAlign w:val="center"/>
          </w:tcPr>
          <w:p w14:paraId="390263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92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82624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不可抗力风险</w:t>
            </w:r>
          </w:p>
        </w:tc>
        <w:tc>
          <w:tcPr>
            <w:tcW w:w="16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9412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不可抗力（可保险）</w:t>
            </w: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1B799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5231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434E24">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2018" w:type="dxa"/>
            <w:tcBorders>
              <w:top w:val="single" w:color="000000" w:sz="8" w:space="0"/>
              <w:left w:val="single" w:color="000000" w:sz="8" w:space="0"/>
              <w:bottom w:val="single" w:color="000000" w:sz="8" w:space="0"/>
              <w:right w:val="single" w:color="000000" w:sz="12" w:space="0"/>
            </w:tcBorders>
            <w:shd w:val="clear" w:color="auto" w:fill="auto"/>
            <w:vAlign w:val="center"/>
          </w:tcPr>
          <w:p w14:paraId="53E41C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由项目公司利用保险转移风险。</w:t>
            </w:r>
          </w:p>
        </w:tc>
      </w:tr>
      <w:tr w14:paraId="5E601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20" w:type="dxa"/>
            <w:vMerge w:val="continue"/>
            <w:tcBorders>
              <w:top w:val="single" w:color="000000" w:sz="8" w:space="0"/>
              <w:left w:val="single" w:color="000000" w:sz="12" w:space="0"/>
              <w:bottom w:val="single" w:color="000000" w:sz="8" w:space="0"/>
              <w:right w:val="single" w:color="000000" w:sz="8" w:space="0"/>
            </w:tcBorders>
            <w:shd w:val="clear" w:color="auto" w:fill="auto"/>
            <w:vAlign w:val="center"/>
          </w:tcPr>
          <w:p w14:paraId="0676D262">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92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8336729">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640"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66DB5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不可抗力（不可保险）</w:t>
            </w:r>
          </w:p>
        </w:tc>
        <w:tc>
          <w:tcPr>
            <w:tcW w:w="1011"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78978B7F">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1011"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1A2FA7CB">
            <w:pPr>
              <w:keepNext w:val="0"/>
              <w:keepLines w:val="0"/>
              <w:suppressLineNumbers w:val="0"/>
              <w:spacing w:before="0" w:beforeAutospacing="0" w:after="0" w:afterAutospacing="0"/>
              <w:ind w:left="0" w:right="0"/>
              <w:jc w:val="center"/>
              <w:rPr>
                <w:rFonts w:hint="eastAsia" w:ascii="仿宋" w:hAnsi="仿宋" w:eastAsia="仿宋" w:cs="仿宋"/>
                <w:i w:val="0"/>
                <w:iCs w:val="0"/>
                <w:color w:val="000000"/>
                <w:sz w:val="24"/>
                <w:szCs w:val="24"/>
                <w:u w:val="none"/>
              </w:rPr>
            </w:pPr>
          </w:p>
        </w:tc>
        <w:tc>
          <w:tcPr>
            <w:tcW w:w="811"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4C5975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2018" w:type="dxa"/>
            <w:tcBorders>
              <w:top w:val="single" w:color="000000" w:sz="8" w:space="0"/>
              <w:left w:val="single" w:color="000000" w:sz="8" w:space="0"/>
              <w:bottom w:val="single" w:color="000000" w:sz="12" w:space="0"/>
              <w:right w:val="single" w:color="000000" w:sz="12" w:space="0"/>
            </w:tcBorders>
            <w:shd w:val="clear" w:color="auto" w:fill="auto"/>
            <w:vAlign w:val="center"/>
          </w:tcPr>
          <w:p w14:paraId="21E136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双方共担。</w:t>
            </w:r>
          </w:p>
        </w:tc>
      </w:tr>
    </w:tbl>
    <w:p w14:paraId="21409EDB">
      <w:pPr>
        <w:pStyle w:val="2"/>
        <w:rPr>
          <w:rFonts w:hint="eastAsia"/>
          <w:lang w:val="en-US" w:eastAsia="zh-CN"/>
        </w:rPr>
      </w:pPr>
    </w:p>
    <w:p w14:paraId="2CC9A582">
      <w:pPr>
        <w:pStyle w:val="5"/>
        <w:rPr>
          <w:color w:val="000000" w:themeColor="text1"/>
          <w14:textFill>
            <w14:solidFill>
              <w14:schemeClr w14:val="tx1"/>
            </w14:solidFill>
          </w14:textFill>
        </w:rPr>
      </w:pPr>
      <w:bookmarkStart w:id="433" w:name="_Toc5344"/>
      <w:bookmarkStart w:id="434" w:name="_Toc30448"/>
      <w:r>
        <w:rPr>
          <w:color w:val="000000" w:themeColor="text1"/>
          <w14:textFill>
            <w14:solidFill>
              <w14:schemeClr w14:val="tx1"/>
            </w14:solidFill>
          </w14:textFill>
        </w:rPr>
        <w:t>政府承诺和保障</w:t>
      </w:r>
      <w:bookmarkEnd w:id="433"/>
      <w:bookmarkEnd w:id="434"/>
    </w:p>
    <w:p w14:paraId="1E4BB46B">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本项目的成功实施离不开政府方的各项保障措施，包括但不限于以下内容：</w:t>
      </w:r>
    </w:p>
    <w:p w14:paraId="6EA65B2F">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负责确定项目建设内容、规模、目标等内容，负责协调项目公司开展前期工作，包括</w:t>
      </w:r>
      <w:r>
        <w:rPr>
          <w:rFonts w:ascii="仿宋" w:hAnsi="仿宋" w:cs="仿宋"/>
          <w:color w:val="000000" w:themeColor="text1"/>
          <w:spacing w:val="-1"/>
          <w:szCs w:val="28"/>
          <w14:textFill>
            <w14:solidFill>
              <w14:schemeClr w14:val="tx1"/>
            </w14:solidFill>
          </w14:textFill>
        </w:rPr>
        <w:t>实施机构授权、方案编制与报批等。</w:t>
      </w:r>
    </w:p>
    <w:p w14:paraId="122FFB6C">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负责协调项目公司与当地政府的关系，协助项目公司开展后续工作。</w:t>
      </w:r>
    </w:p>
    <w:p w14:paraId="1E4CC741">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协助项目公司进行项目未完成的审批和取得融资及建设所必需且合理的证明文件等工作，</w:t>
      </w:r>
      <w:r>
        <w:rPr>
          <w:rFonts w:hint="eastAsia" w:ascii="仿宋" w:hAnsi="仿宋" w:cs="仿宋"/>
          <w:color w:val="000000" w:themeColor="text1"/>
          <w:spacing w:val="-1"/>
          <w:szCs w:val="28"/>
          <w14:textFill>
            <w14:solidFill>
              <w14:schemeClr w14:val="tx1"/>
            </w14:solidFill>
          </w14:textFill>
        </w:rPr>
        <w:t>包括财政、发改、住建、国土、规划、税收、环境保护等管理和审批事项，为项目公司提供相应的支持和保障。</w:t>
      </w:r>
    </w:p>
    <w:p w14:paraId="248513CA">
      <w:pPr>
        <w:numPr>
          <w:ilvl w:val="0"/>
          <w:numId w:val="82"/>
        </w:numPr>
        <w:ind w:left="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授予项目公司本项目投资、设计、建设、运营和养护的权利。</w:t>
      </w:r>
    </w:p>
    <w:p w14:paraId="18844418">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授予项目公司特许经营管理权利，</w:t>
      </w:r>
      <w:r>
        <w:rPr>
          <w:rFonts w:hint="eastAsia"/>
          <w:color w:val="000000" w:themeColor="text1"/>
          <w:lang w:val="en-US" w:eastAsia="zh-CN"/>
          <w14:textFill>
            <w14:solidFill>
              <w14:schemeClr w14:val="tx1"/>
            </w14:solidFill>
          </w14:textFill>
        </w:rPr>
        <w:t>保证项目公司享有服务范围内独占、唯一的垃圾处理服务的权力，保证项目公司</w:t>
      </w:r>
      <w:r>
        <w:rPr>
          <w:rFonts w:hint="eastAsia"/>
          <w:color w:val="000000" w:themeColor="text1"/>
          <w14:textFill>
            <w14:solidFill>
              <w14:schemeClr w14:val="tx1"/>
            </w14:solidFill>
          </w14:textFill>
        </w:rPr>
        <w:t>依法享有</w:t>
      </w:r>
      <w:r>
        <w:rPr>
          <w:rFonts w:hint="eastAsia"/>
          <w:color w:val="000000" w:themeColor="text1"/>
          <w:lang w:val="en-US" w:eastAsia="zh-CN"/>
          <w14:textFill>
            <w14:solidFill>
              <w14:schemeClr w14:val="tx1"/>
            </w14:solidFill>
          </w14:textFill>
        </w:rPr>
        <w:t>获得</w:t>
      </w:r>
      <w:r>
        <w:rPr>
          <w:rFonts w:hint="eastAsia"/>
          <w:color w:val="000000" w:themeColor="text1"/>
          <w14:textFill>
            <w14:solidFill>
              <w14:schemeClr w14:val="tx1"/>
            </w14:solidFill>
          </w14:textFill>
        </w:rPr>
        <w:t>垃圾处理服务费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发电收费</w:t>
      </w:r>
      <w:r>
        <w:rPr>
          <w:rFonts w:hint="eastAsia"/>
          <w:color w:val="000000" w:themeColor="text1"/>
          <w:lang w:val="en-US" w:eastAsia="zh-CN"/>
          <w14:textFill>
            <w14:solidFill>
              <w14:schemeClr w14:val="tx1"/>
            </w14:solidFill>
          </w14:textFill>
        </w:rPr>
        <w:t>及其他副产品收入的</w:t>
      </w:r>
      <w:r>
        <w:rPr>
          <w:rFonts w:hint="eastAsia"/>
          <w:color w:val="000000" w:themeColor="text1"/>
          <w14:textFill>
            <w14:solidFill>
              <w14:schemeClr w14:val="tx1"/>
            </w14:solidFill>
          </w14:textFill>
        </w:rPr>
        <w:t>权</w:t>
      </w:r>
      <w:r>
        <w:rPr>
          <w:rFonts w:hint="eastAsia"/>
          <w:color w:val="000000" w:themeColor="text1"/>
          <w:lang w:val="en-US" w:eastAsia="zh-CN"/>
          <w14:textFill>
            <w14:solidFill>
              <w14:schemeClr w14:val="tx1"/>
            </w14:solidFill>
          </w14:textFill>
        </w:rPr>
        <w:t>力</w:t>
      </w:r>
      <w:r>
        <w:rPr>
          <w:rFonts w:hint="eastAsia"/>
          <w:color w:val="000000" w:themeColor="text1"/>
          <w14:textFill>
            <w14:solidFill>
              <w14:schemeClr w14:val="tx1"/>
            </w14:solidFill>
          </w14:textFill>
        </w:rPr>
        <w:t>。</w:t>
      </w:r>
    </w:p>
    <w:p w14:paraId="273A3DA9">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确保</w:t>
      </w:r>
      <w:r>
        <w:rPr>
          <w:rFonts w:hint="eastAsia" w:ascii="Times New Roman" w:hAnsi="Times New Roman" w:eastAsia="方正仿宋_GBK" w:cs="Times New Roman"/>
          <w:kern w:val="2"/>
          <w:sz w:val="28"/>
          <w:szCs w:val="28"/>
          <w:lang w:val="en-US" w:eastAsia="zh-CN" w:bidi="ar"/>
        </w:rPr>
        <w:t>从事本项目特许经营活动的相关权利</w:t>
      </w:r>
      <w:r>
        <w:rPr>
          <w:rFonts w:hint="eastAsia"/>
          <w:color w:val="000000" w:themeColor="text1"/>
          <w14:textFill>
            <w14:solidFill>
              <w14:schemeClr w14:val="tx1"/>
            </w14:solidFill>
          </w14:textFill>
        </w:rPr>
        <w:t>的任何部分在特许经营期间将不再被授予其他方。</w:t>
      </w:r>
    </w:p>
    <w:p w14:paraId="7EC2C02A">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政府方对项目公司融资行为提供必要且合理的支持与协助，但不出具任何承诺或担保文件。</w:t>
      </w:r>
    </w:p>
    <w:p w14:paraId="4A0893F1">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承诺项目公司依照规定享有国家、地方政策给予本项目建设运营的优惠政策，但如因项目公司自身原因或国家、地方政策变化等因素导致项目公司无法享受相关优惠政策的，政府和项目公司双方进行友好协商解决。</w:t>
      </w:r>
    </w:p>
    <w:p w14:paraId="6C1D1630">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用地是政府以出让方式向项目公司提供项目的土地使用权，并协助项目公司办理相关手续。征地拆迁工作由属地政府或其指定的机构负责组织实施，包括维护社会稳定、妥善处理后续遗留问题等。征地拆迁的有关费用（包括建设用地的土地补偿费、安置补助费、地上附着物和青苗的补偿费、按设计要求迁移通信、广播电视、供水、供电等管线管缆和其他物品的费用、各项税费等）</w:t>
      </w:r>
      <w:r>
        <w:rPr>
          <w:rFonts w:hint="eastAsia"/>
          <w:color w:val="000000" w:themeColor="text1"/>
          <w:lang w:val="en-US" w:eastAsia="zh-CN"/>
          <w14:textFill>
            <w14:solidFill>
              <w14:schemeClr w14:val="tx1"/>
            </w14:solidFill>
          </w14:textFill>
        </w:rPr>
        <w:t>以本项目投资估算中的土地费用金额为上限</w:t>
      </w:r>
      <w:r>
        <w:rPr>
          <w:rFonts w:hint="eastAsia"/>
          <w:color w:val="000000" w:themeColor="text1"/>
          <w14:textFill>
            <w14:solidFill>
              <w14:schemeClr w14:val="tx1"/>
            </w14:solidFill>
          </w14:textFill>
        </w:rPr>
        <w:t>计入项目总投资。未经政府批准，项目公司不得变更项目建设用地的土地用途，也不得将该土地转让、出租和抵押。</w:t>
      </w:r>
    </w:p>
    <w:p w14:paraId="6562676B">
      <w:pPr>
        <w:numPr>
          <w:ilvl w:val="0"/>
          <w:numId w:val="82"/>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此外，履行法律法规、规章规定及相关合同约定的其他义务。</w:t>
      </w:r>
    </w:p>
    <w:p w14:paraId="7383F9BA">
      <w:pPr>
        <w:pStyle w:val="5"/>
        <w:numPr>
          <w:ilvl w:val="2"/>
          <w:numId w:val="64"/>
        </w:numPr>
        <w:rPr>
          <w:color w:val="000000" w:themeColor="text1"/>
          <w14:textFill>
            <w14:solidFill>
              <w14:schemeClr w14:val="tx1"/>
            </w14:solidFill>
          </w14:textFill>
        </w:rPr>
      </w:pPr>
      <w:bookmarkStart w:id="435" w:name="_Toc27843"/>
      <w:bookmarkStart w:id="436" w:name="_Toc29402"/>
      <w:r>
        <w:rPr>
          <w:color w:val="000000" w:themeColor="text1"/>
          <w14:textFill>
            <w14:solidFill>
              <w14:schemeClr w14:val="tx1"/>
            </w14:solidFill>
          </w14:textFill>
        </w:rPr>
        <w:t>调整、变更等其他要求</w:t>
      </w:r>
      <w:bookmarkEnd w:id="435"/>
      <w:bookmarkEnd w:id="436"/>
    </w:p>
    <w:p w14:paraId="224318F2">
      <w:pPr>
        <w:pStyle w:val="6"/>
        <w:numPr>
          <w:ilvl w:val="3"/>
          <w:numId w:val="64"/>
        </w:numPr>
        <w:spacing w:before="156" w:after="156"/>
        <w:rPr>
          <w:color w:val="000000" w:themeColor="text1"/>
          <w14:textFill>
            <w14:solidFill>
              <w14:schemeClr w14:val="tx1"/>
            </w14:solidFill>
          </w14:textFill>
        </w:rPr>
      </w:pPr>
      <w:bookmarkStart w:id="437" w:name="_Toc21866"/>
      <w:r>
        <w:rPr>
          <w:rFonts w:hint="eastAsia"/>
          <w:color w:val="000000" w:themeColor="text1"/>
          <w:lang w:val="en-US" w:eastAsia="zh-CN"/>
          <w14:textFill>
            <w14:solidFill>
              <w14:schemeClr w14:val="tx1"/>
            </w14:solidFill>
          </w14:textFill>
        </w:rPr>
        <w:t>重大变更处理原则</w:t>
      </w:r>
    </w:p>
    <w:p w14:paraId="12761302">
      <w:pPr>
        <w:ind w:firstLine="560" w:firstLineChars="20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重大变更处理原则主要包括及时通知、积极协商与调整、以及遵循法律法规和合同条款‌。</w:t>
      </w:r>
    </w:p>
    <w:p w14:paraId="3F25FC84">
      <w:pPr>
        <w:ind w:firstLine="560" w:firstLineChars="2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首先，‌及时通知‌是处理重大变更的首要原则。当项目出现重大变更时，特许人或被特许人应第一时间通知对方，确保双方对变更情况有充分的了解和准备。这一原则有助于双方及时应对变更带来的挑战，减少因信息不对称而造成的损失‌。</w:t>
      </w:r>
    </w:p>
    <w:p w14:paraId="7A278FBF">
      <w:pPr>
        <w:ind w:firstLine="560" w:firstLineChars="2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其次，‌积极协商与调整‌是处理重大变更的关键步骤。在收到变更通知后，特许人和被特许人应基于公平、诚实信用的原则，积极展开协商，共同探讨变更后的合作方案。这可能包括调整经营策略、修改合同条款、重新分配风险与收益等。通过协商与调整，双方可以寻求到新的平衡点，确保项目的持续稳定发展‌。</w:t>
      </w:r>
    </w:p>
    <w:p w14:paraId="6A56BCA1">
      <w:pPr>
        <w:ind w:firstLine="560" w:firstLineChars="200"/>
        <w:rPr>
          <w:rFonts w:hint="default" w:ascii="Arial" w:hAnsi="Arial" w:eastAsia="Arial" w:cs="Arial"/>
        </w:rPr>
      </w:pPr>
      <w:r>
        <w:rPr>
          <w:rFonts w:hint="default"/>
          <w:color w:val="000000" w:themeColor="text1"/>
          <w14:textFill>
            <w14:solidFill>
              <w14:schemeClr w14:val="tx1"/>
            </w14:solidFill>
          </w14:textFill>
        </w:rPr>
        <w:t>最后，‌遵循法律法规和合同条款‌是处理重大变更的法律依据。特许经营方案中的重大变更必须严格遵守国家相关法律法规和合同条款的约定。在协商与调整过程中，双方应确保所有变更内容均符合法律法规的要求，并遵循合同条款的约定进行执行。</w:t>
      </w:r>
      <w:r>
        <w:rPr>
          <w:rFonts w:hint="default" w:ascii="Arial" w:hAnsi="Arial" w:eastAsia="Arial" w:cs="Arial"/>
          <w:i w:val="0"/>
          <w:iCs w:val="0"/>
          <w:caps w:val="0"/>
          <w:color w:val="333333"/>
          <w:spacing w:val="0"/>
          <w:sz w:val="16"/>
          <w:szCs w:val="16"/>
          <w:shd w:val="clear" w:fill="FFFFFF"/>
        </w:rPr>
        <w:t>‌</w:t>
      </w:r>
    </w:p>
    <w:p w14:paraId="29103F0C">
      <w:pPr>
        <w:pStyle w:val="6"/>
        <w:numPr>
          <w:ilvl w:val="3"/>
          <w:numId w:val="64"/>
        </w:numPr>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协议变更</w:t>
      </w:r>
      <w:bookmarkEnd w:id="437"/>
    </w:p>
    <w:p w14:paraId="6F4F672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协议</w:t>
      </w:r>
      <w:r>
        <w:rPr>
          <w:color w:val="000000" w:themeColor="text1"/>
          <w14:textFill>
            <w14:solidFill>
              <w14:schemeClr w14:val="tx1"/>
            </w14:solidFill>
          </w14:textFill>
        </w:rPr>
        <w:t>中任何修改、补充或变更必须征得</w:t>
      </w:r>
      <w:r>
        <w:rPr>
          <w:rFonts w:hint="eastAsia"/>
          <w:color w:val="000000" w:themeColor="text1"/>
          <w14:textFill>
            <w14:solidFill>
              <w14:schemeClr w14:val="tx1"/>
            </w14:solidFill>
          </w14:textFill>
        </w:rPr>
        <w:t>实施机构</w:t>
      </w:r>
      <w:r>
        <w:rPr>
          <w:color w:val="000000" w:themeColor="text1"/>
          <w14:textFill>
            <w14:solidFill>
              <w14:schemeClr w14:val="tx1"/>
            </w14:solidFill>
          </w14:textFill>
        </w:rPr>
        <w:t>审核同意后方可执行，修改、补充或变更事项需以书面形式确认，经双方法定代表人或授权代表签字并加盖公章后生效并具约束力。</w:t>
      </w:r>
    </w:p>
    <w:p w14:paraId="543635EA">
      <w:pPr>
        <w:pStyle w:val="6"/>
        <w:numPr>
          <w:ilvl w:val="3"/>
          <w:numId w:val="64"/>
        </w:numPr>
        <w:spacing w:before="156" w:after="156"/>
        <w:rPr>
          <w:color w:val="000000" w:themeColor="text1"/>
          <w14:textFill>
            <w14:solidFill>
              <w14:schemeClr w14:val="tx1"/>
            </w14:solidFill>
          </w14:textFill>
        </w:rPr>
      </w:pPr>
      <w:bookmarkStart w:id="438" w:name="_Toc25024"/>
      <w:r>
        <w:rPr>
          <w:rFonts w:hint="eastAsia"/>
          <w:color w:val="000000" w:themeColor="text1"/>
          <w14:textFill>
            <w14:solidFill>
              <w14:schemeClr w14:val="tx1"/>
            </w14:solidFill>
          </w14:textFill>
        </w:rPr>
        <w:t>价格调整</w:t>
      </w:r>
      <w:bookmarkEnd w:id="438"/>
    </w:p>
    <w:p w14:paraId="3EBF228E">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针对政府定价或物价部门指导价格的，在项目运营期间，因通货膨胀情况或原材料价格上涨（主要是指人工、电费、水费、税费等）导致运营成本增加或降低，则设定相应的调价机制，确保项目的正常运营。在运营期内以每三年为一个周期，若前述调整因素中的一项或者多项成本变动幅度超过</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%，可以申请调整物价部门的指导价格。</w:t>
      </w:r>
    </w:p>
    <w:p w14:paraId="459D858A">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如运营成本增加因素触发的调价机制，则由项目公司可向项目实施机构提起申请，由项目实施机构审核后提请政府相关部门确认是否调价，并按照本级政府相关的调价程序为准。如运营成本降低触发的调价机制，由项目实施机构提请调价并报政府相关部门审核确认，按照相关调价程序执行。</w:t>
      </w:r>
    </w:p>
    <w:p w14:paraId="4718E4CF">
      <w:pPr>
        <w:pStyle w:val="6"/>
        <w:numPr>
          <w:ilvl w:val="3"/>
          <w:numId w:val="64"/>
        </w:numPr>
        <w:spacing w:before="156" w:after="156"/>
        <w:rPr>
          <w:color w:val="000000" w:themeColor="text1"/>
          <w14:textFill>
            <w14:solidFill>
              <w14:schemeClr w14:val="tx1"/>
            </w14:solidFill>
          </w14:textFill>
        </w:rPr>
      </w:pPr>
      <w:bookmarkStart w:id="439" w:name="_Toc15307"/>
      <w:r>
        <w:rPr>
          <w:rFonts w:hint="eastAsia"/>
          <w:color w:val="000000" w:themeColor="text1"/>
          <w14:textFill>
            <w14:solidFill>
              <w14:schemeClr w14:val="tx1"/>
            </w14:solidFill>
          </w14:textFill>
        </w:rPr>
        <w:t>股权变更</w:t>
      </w:r>
      <w:bookmarkEnd w:id="439"/>
    </w:p>
    <w:p w14:paraId="210EC5B3">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项目公司注册资本的增加、减少、股东变更、</w:t>
      </w:r>
      <w:r>
        <w:rPr>
          <w:rFonts w:hint="eastAsia"/>
          <w:color w:val="000000" w:themeColor="text1"/>
          <w14:textFill>
            <w14:solidFill>
              <w14:schemeClr w14:val="tx1"/>
            </w14:solidFill>
          </w14:textFill>
        </w:rPr>
        <w:t>股权变更、</w:t>
      </w:r>
      <w:r>
        <w:rPr>
          <w:color w:val="000000" w:themeColor="text1"/>
          <w14:textFill>
            <w14:solidFill>
              <w14:schemeClr w14:val="tx1"/>
            </w14:solidFill>
          </w14:textFill>
        </w:rPr>
        <w:t>股权质押，项目公司名称、地址、法定代表人变更、收费权（应收账款）转让或质押、本项目资产、设施设备的转让、抵押等，应按国家有关规定执行，并需取得项目实施机构书面同意后方可实施，实施后相关情况应及时向项目实施机构报备。</w:t>
      </w:r>
    </w:p>
    <w:p w14:paraId="4EC3181A">
      <w:pPr>
        <w:pStyle w:val="6"/>
        <w:numPr>
          <w:ilvl w:val="3"/>
          <w:numId w:val="64"/>
        </w:numPr>
        <w:spacing w:before="156" w:after="156"/>
        <w:rPr>
          <w:color w:val="000000" w:themeColor="text1"/>
          <w14:textFill>
            <w14:solidFill>
              <w14:schemeClr w14:val="tx1"/>
            </w14:solidFill>
          </w14:textFill>
        </w:rPr>
      </w:pPr>
      <w:bookmarkStart w:id="440" w:name="_Toc31411"/>
      <w:r>
        <w:rPr>
          <w:rFonts w:hint="eastAsia"/>
          <w:color w:val="000000" w:themeColor="text1"/>
          <w14:textFill>
            <w14:solidFill>
              <w14:schemeClr w14:val="tx1"/>
            </w14:solidFill>
          </w14:textFill>
        </w:rPr>
        <w:t>临时接管</w:t>
      </w:r>
      <w:bookmarkEnd w:id="440"/>
    </w:p>
    <w:p w14:paraId="2D808081">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导致接管的情形</w:t>
      </w:r>
    </w:p>
    <w:p w14:paraId="35CE8D49">
      <w:pPr>
        <w:ind w:firstLine="560" w:firstLineChars="200"/>
        <w:rPr>
          <w:color w:val="000000" w:themeColor="text1"/>
          <w14:textFill>
            <w14:solidFill>
              <w14:schemeClr w14:val="tx1"/>
            </w14:solidFill>
          </w14:textFill>
        </w:rPr>
      </w:pPr>
      <w:bookmarkStart w:id="441" w:name="_Hlk84717928"/>
      <w:r>
        <w:rPr>
          <w:rFonts w:hint="eastAsia"/>
          <w:color w:val="000000" w:themeColor="text1"/>
          <w14:textFill>
            <w14:solidFill>
              <w14:schemeClr w14:val="tx1"/>
            </w14:solidFill>
          </w14:textFill>
        </w:rPr>
        <w:t>特许经营期内，发生下述情况时，政府方或市政府指定机构有权（但不得被要求）介入本项目，有必要时可暂代项目公司建设、运营和维护本项目设施：</w:t>
      </w:r>
    </w:p>
    <w:bookmarkEnd w:id="441"/>
    <w:p w14:paraId="500EFABE">
      <w:pPr>
        <w:numPr>
          <w:ilvl w:val="0"/>
          <w:numId w:val="83"/>
        </w:numPr>
        <w:ind w:firstLine="560" w:firstLineChars="200"/>
        <w:rPr>
          <w:color w:val="000000" w:themeColor="text1"/>
          <w14:textFill>
            <w14:solidFill>
              <w14:schemeClr w14:val="tx1"/>
            </w14:solidFill>
          </w14:textFill>
        </w:rPr>
      </w:pPr>
      <w:bookmarkStart w:id="442" w:name="_Hlk84717980"/>
      <w:r>
        <w:rPr>
          <w:rFonts w:hint="eastAsia"/>
          <w:color w:val="000000" w:themeColor="text1"/>
          <w14:textFill>
            <w14:solidFill>
              <w14:schemeClr w14:val="tx1"/>
            </w14:solidFill>
          </w14:textFill>
        </w:rPr>
        <w:t>政府需履行法定职责或者义务，撤销</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。其中，因政府方原因导致</w:t>
      </w:r>
      <w:r>
        <w:rPr>
          <w:rFonts w:hint="eastAsia"/>
          <w:color w:val="000000" w:themeColor="text1"/>
          <w:lang w:val="en-US" w:eastAsia="zh-CN"/>
          <w14:textFill>
            <w14:solidFill>
              <w14:schemeClr w14:val="tx1"/>
            </w14:solidFill>
          </w14:textFill>
        </w:rPr>
        <w:t>相关权利</w:t>
      </w:r>
      <w:r>
        <w:rPr>
          <w:rFonts w:hint="eastAsia"/>
          <w:color w:val="000000" w:themeColor="text1"/>
          <w14:textFill>
            <w14:solidFill>
              <w14:schemeClr w14:val="tx1"/>
            </w14:solidFill>
          </w14:textFill>
        </w:rPr>
        <w:t>被撤销的情形包括：a.超越法定职权作出授予</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；b.违反法定程序作出授予</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；c.对不具备申请资格或者不符合法定条件的申请人授予</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；d.其他情形。</w:t>
      </w:r>
    </w:p>
    <w:p w14:paraId="69B620F7">
      <w:pPr>
        <w:numPr>
          <w:ilvl w:val="0"/>
          <w:numId w:val="83"/>
        </w:num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因项目公司原因导致</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被撤销的情形：中选社会资本或项目公司以欺骗、贿赂等不正当手段取得</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。其他原因导致</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被撤销的情形包括：a.授予</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所依据的法律、法规、规章变更；b.授予</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所依据的客观情况发生重大变化；c.确因公共利益的需要，政府履行法定职责或者义务。</w:t>
      </w:r>
    </w:p>
    <w:p w14:paraId="0B1B8AA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项目公司严重违反特许经营协议，且在特许经营协议约定的期限内，或在特许经营协议未明确约定期限的情况下，在政府方书面要求的期限内，未能或无法纠正，导致或可能导致如果政府方不采取介入的方式将危及公共利益、公共安全或本项目设施正常运营；</w:t>
      </w:r>
    </w:p>
    <w:p w14:paraId="3AA42514">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发生紧急事件或合理预期可能出现紧急事件（无论项目公司是否已采取应急措施），导致或可能导致如果政府方不采取介入的方式，将危及公共利益、公共安全或本项目设施正常运营。“紧急事件”指：如果政府方不采取介入的方式，将危及公共利益、公共安全、环境安全或本项目设施正常运行或者导致人员伤亡、严重财产损失或造成环境污染的事件，包括但不限于火灾、洪水、爆炸、有毒气体泄漏、重要电力或机械中断、地震、台风、风暴、大雾或其它天气状况、工业行动、暴乱、战争或民乱、或任何其它使项目公司或可能使项目公司不能按照正常或通常方式建设、运营或维护本项目的事件。</w:t>
      </w:r>
    </w:p>
    <w:bookmarkEnd w:id="442"/>
    <w:p w14:paraId="462F515F">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接管程序</w:t>
      </w:r>
    </w:p>
    <w:p w14:paraId="205192F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因项目公司严重违反特许经营协议行使介入权时，应书面通知项目公司并告知其有申请听证的权利。项目公司应于接到书面通知后在规定时间内申请听证，由政府方组织听证。政府方应根据听证笔录，决定是否进行介入接管。若上述行为或事件导致本项目合同提前终止，则按《特许经营协议》有关提前终止的约定执行。</w:t>
      </w:r>
    </w:p>
    <w:p w14:paraId="747ECA77">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接管期间的费用处理</w:t>
      </w:r>
    </w:p>
    <w:p w14:paraId="3F2A29C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对于项目公司严重违反特许经营协议约定导致的政府方或市政府指定机构的接管，接管期间垃圾处理服务费不予以支付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因接管产生的其他额外费用也由项目公司承担</w:t>
      </w:r>
      <w:r>
        <w:rPr>
          <w:rFonts w:hint="eastAsia"/>
          <w:color w:val="000000" w:themeColor="text1"/>
          <w14:textFill>
            <w14:solidFill>
              <w14:schemeClr w14:val="tx1"/>
            </w14:solidFill>
          </w14:textFill>
        </w:rPr>
        <w:t>。</w:t>
      </w:r>
    </w:p>
    <w:p w14:paraId="4F92469C">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对于非项目公司原因导致的政府方或市政府指定机构的接管，接管期间垃圾处理服务费</w:t>
      </w:r>
      <w:r>
        <w:rPr>
          <w:rFonts w:hint="eastAsia"/>
          <w:color w:val="000000" w:themeColor="text1"/>
          <w:lang w:val="en-US" w:eastAsia="zh-CN"/>
          <w14:textFill>
            <w14:solidFill>
              <w14:schemeClr w14:val="tx1"/>
            </w14:solidFill>
          </w14:textFill>
        </w:rPr>
        <w:t>与费用</w:t>
      </w:r>
      <w:r>
        <w:rPr>
          <w:rFonts w:hint="eastAsia"/>
          <w:color w:val="000000" w:themeColor="text1"/>
          <w14:textFill>
            <w14:solidFill>
              <w14:schemeClr w14:val="tx1"/>
            </w14:solidFill>
          </w14:textFill>
        </w:rPr>
        <w:t>由双方进行沟通约定处理。</w:t>
      </w:r>
    </w:p>
    <w:p w14:paraId="39AB9DCC">
      <w:pPr>
        <w:pStyle w:val="6"/>
        <w:numPr>
          <w:ilvl w:val="3"/>
          <w:numId w:val="64"/>
        </w:numPr>
        <w:spacing w:before="156" w:after="156"/>
        <w:rPr>
          <w:color w:val="000000" w:themeColor="text1"/>
          <w14:textFill>
            <w14:solidFill>
              <w14:schemeClr w14:val="tx1"/>
            </w14:solidFill>
          </w14:textFill>
        </w:rPr>
      </w:pPr>
      <w:bookmarkStart w:id="443" w:name="_Toc14414"/>
      <w:r>
        <w:rPr>
          <w:rFonts w:hint="eastAsia"/>
          <w:color w:val="000000" w:themeColor="text1"/>
          <w14:textFill>
            <w14:solidFill>
              <w14:schemeClr w14:val="tx1"/>
            </w14:solidFill>
          </w14:textFill>
        </w:rPr>
        <w:t>项目移交</w:t>
      </w:r>
      <w:bookmarkEnd w:id="443"/>
    </w:p>
    <w:p w14:paraId="07D16DC2">
      <w:pPr>
        <w:pStyle w:val="7"/>
        <w:ind w:firstLine="562"/>
        <w:rPr>
          <w:color w:val="000000" w:themeColor="text1"/>
          <w14:textFill>
            <w14:solidFill>
              <w14:schemeClr w14:val="tx1"/>
            </w14:solidFill>
          </w14:textFill>
        </w:rPr>
      </w:pPr>
      <w:bookmarkStart w:id="444" w:name="_Toc43228578"/>
      <w:bookmarkStart w:id="445" w:name="_Toc43278650"/>
      <w:bookmarkStart w:id="446" w:name="_Toc41559686"/>
      <w:bookmarkStart w:id="447" w:name="_Toc41591210"/>
      <w:bookmarkStart w:id="448" w:name="_Toc41636242"/>
      <w:bookmarkStart w:id="449" w:name="_Toc41055953"/>
      <w:r>
        <w:rPr>
          <w:rFonts w:hint="eastAsia"/>
          <w:color w:val="000000" w:themeColor="text1"/>
          <w14:textFill>
            <w14:solidFill>
              <w14:schemeClr w14:val="tx1"/>
            </w14:solidFill>
          </w14:textFill>
        </w:rPr>
        <w:t>移交范围</w:t>
      </w:r>
      <w:bookmarkEnd w:id="444"/>
      <w:bookmarkEnd w:id="445"/>
      <w:bookmarkEnd w:id="446"/>
      <w:bookmarkEnd w:id="447"/>
      <w:bookmarkEnd w:id="448"/>
      <w:bookmarkEnd w:id="449"/>
    </w:p>
    <w:p w14:paraId="086C6C5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项目公司应于项目运营期限届满之日或特许经营协议确定的移交日，向政府方或市政府指定机构完好、无偿、不设任何权利负担地移交：</w:t>
      </w:r>
    </w:p>
    <w:p w14:paraId="4286112A">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使用项目设施所占有土地的权利；</w:t>
      </w:r>
    </w:p>
    <w:p w14:paraId="2C4D48E2">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对项目设施的所有权益，包括：a.项目厂区内的所有建筑物、构筑物、设施和设备；b.与项目设施的运营维护相关使用的所有机械、设备、装置、零部件、备品备件、化学药剂以及其他动产；c.与项目设施相关的所有尚未到期的保证、保险和其它协议的利益；</w:t>
      </w:r>
    </w:p>
    <w:p w14:paraId="2BF1CAAA">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营和维护项目设施所必需的技术文件和技术诀窍，以及政府方或市政府指定机构合理要求的运营手册、运营记录、设计图纸、工程档案、投融资资料、设备、资产清册、质量保修书和其他资料，以使其能够直接或经由政府方或市政府指定机构继续运营和维护项目设施；</w:t>
      </w:r>
    </w:p>
    <w:p w14:paraId="75F896F3">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涉及项目全部设施、设备使用、维护和更新所必须具备的必要专利权利和授权文件等；</w:t>
      </w:r>
    </w:p>
    <w:p w14:paraId="5CC3D526">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本项目和项目公司的无形资产；</w:t>
      </w:r>
    </w:p>
    <w:p w14:paraId="5FD4E9CB">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为移交项目设施的权益所需的文件；</w:t>
      </w:r>
    </w:p>
    <w:p w14:paraId="061A0C88">
      <w:pPr>
        <w:numPr>
          <w:ilvl w:val="0"/>
          <w:numId w:val="84"/>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政府方或市政府指定机构合理要求的其它物品与资料。</w:t>
      </w:r>
    </w:p>
    <w:p w14:paraId="305F7395">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上述移交中全部文档资料均真实、完整、清晰，各类资产不应附带任何负债、担保或违约、侵权责任等权利瑕疵。所有与移交的设施、权益、文件等有关的负债、担保或违约、侵权责任等权利瑕疵，应由项目公司在移交前全部清偿或赔偿完毕。</w:t>
      </w:r>
    </w:p>
    <w:p w14:paraId="58E1DB1E">
      <w:pPr>
        <w:pStyle w:val="7"/>
        <w:ind w:firstLine="562"/>
        <w:rPr>
          <w:color w:val="000000" w:themeColor="text1"/>
          <w14:textFill>
            <w14:solidFill>
              <w14:schemeClr w14:val="tx1"/>
            </w14:solidFill>
          </w14:textFill>
        </w:rPr>
      </w:pPr>
      <w:bookmarkStart w:id="450" w:name="_Toc43228579"/>
      <w:bookmarkStart w:id="451" w:name="_Toc41055954"/>
      <w:bookmarkStart w:id="452" w:name="_Toc43278651"/>
      <w:bookmarkStart w:id="453" w:name="_Toc41591211"/>
      <w:bookmarkStart w:id="454" w:name="_Toc41559687"/>
      <w:bookmarkStart w:id="455" w:name="_Toc41636243"/>
      <w:r>
        <w:rPr>
          <w:rFonts w:hint="eastAsia"/>
          <w:color w:val="000000" w:themeColor="text1"/>
          <w14:textFill>
            <w14:solidFill>
              <w14:schemeClr w14:val="tx1"/>
            </w14:solidFill>
          </w14:textFill>
        </w:rPr>
        <w:t>移交准备</w:t>
      </w:r>
      <w:bookmarkEnd w:id="450"/>
      <w:bookmarkEnd w:id="451"/>
      <w:bookmarkEnd w:id="452"/>
      <w:bookmarkEnd w:id="453"/>
      <w:bookmarkEnd w:id="454"/>
      <w:bookmarkEnd w:id="455"/>
    </w:p>
    <w:p w14:paraId="6B9FEC6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政府方或市政府指定机构与项目公司应在本项目特许经营期限届满前十二（12）个月组建项目移交工作组，制定性能测试方案。</w:t>
      </w:r>
    </w:p>
    <w:p w14:paraId="713C475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项目移交工作组应严格按照性能测试方案和移交标准对移交资产进行性能测试。性能测试结果不达标的，政府方兑取移交维修保函。</w:t>
      </w:r>
    </w:p>
    <w:p w14:paraId="3088AE7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政府方或市政府指定机构应与项目公司共同明确移交项目和其他相关资产的详细安排，以及项目设施、档案资料、人员的详细清单，明确双方移交事项负责人。</w:t>
      </w:r>
    </w:p>
    <w:p w14:paraId="069AD6F1">
      <w:pPr>
        <w:pStyle w:val="7"/>
        <w:ind w:firstLine="562"/>
        <w:rPr>
          <w:color w:val="000000" w:themeColor="text1"/>
          <w14:textFill>
            <w14:solidFill>
              <w14:schemeClr w14:val="tx1"/>
            </w14:solidFill>
          </w14:textFill>
        </w:rPr>
      </w:pPr>
      <w:bookmarkStart w:id="456" w:name="_Toc41591212"/>
      <w:bookmarkStart w:id="457" w:name="_Toc43228580"/>
      <w:bookmarkStart w:id="458" w:name="_Toc41559688"/>
      <w:bookmarkStart w:id="459" w:name="_Toc41055955"/>
      <w:bookmarkStart w:id="460" w:name="_Toc41636244"/>
      <w:bookmarkStart w:id="461" w:name="_Toc43278652"/>
      <w:r>
        <w:rPr>
          <w:rFonts w:hint="eastAsia"/>
          <w:color w:val="000000" w:themeColor="text1"/>
          <w14:textFill>
            <w14:solidFill>
              <w14:schemeClr w14:val="tx1"/>
            </w14:solidFill>
          </w14:textFill>
        </w:rPr>
        <w:t>移交主要程序</w:t>
      </w:r>
      <w:bookmarkEnd w:id="456"/>
      <w:bookmarkEnd w:id="457"/>
      <w:bookmarkEnd w:id="458"/>
      <w:bookmarkEnd w:id="459"/>
      <w:bookmarkEnd w:id="460"/>
      <w:bookmarkEnd w:id="461"/>
    </w:p>
    <w:p w14:paraId="7D3493B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政府方或市政府指定机构与项目公司就所交接文档资料，按交接清单逐一核对，确认无误签署交接确认书；</w:t>
      </w:r>
    </w:p>
    <w:p w14:paraId="6514E91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项目公司自行完成必要的财务处理；</w:t>
      </w:r>
    </w:p>
    <w:p w14:paraId="6E3E138E">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项目公司协助政府方或其市政府指定机构完成项目内全部资产的权属变更，如土地、硬件、软件、实物、票据等；</w:t>
      </w:r>
    </w:p>
    <w:p w14:paraId="5E811B61">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中选社会资本、项目公司及项目公司其他股东应当积极配合，办妥法律过户和管理权移交手续，并配合做好项目运营平稳过渡相关工作；</w:t>
      </w:r>
    </w:p>
    <w:p w14:paraId="1A044E8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除非特许经营协议另有约定，特许经营协议中政府方及项目公司的其他权利、义务的履行，不得影响本项目的移交准备工作及移交工作。</w:t>
      </w:r>
    </w:p>
    <w:p w14:paraId="324649CB">
      <w:pPr>
        <w:pStyle w:val="7"/>
        <w:ind w:firstLine="562"/>
        <w:rPr>
          <w:color w:val="000000" w:themeColor="text1"/>
          <w14:textFill>
            <w14:solidFill>
              <w14:schemeClr w14:val="tx1"/>
            </w14:solidFill>
          </w14:textFill>
        </w:rPr>
      </w:pPr>
      <w:bookmarkStart w:id="462" w:name="_Toc41591213"/>
      <w:bookmarkStart w:id="463" w:name="_Toc43278653"/>
      <w:bookmarkStart w:id="464" w:name="_Toc41559689"/>
      <w:bookmarkStart w:id="465" w:name="_Toc41055956"/>
      <w:bookmarkStart w:id="466" w:name="_Toc41636245"/>
      <w:bookmarkStart w:id="467" w:name="_Toc43228581"/>
      <w:r>
        <w:rPr>
          <w:rFonts w:hint="eastAsia"/>
          <w:color w:val="000000" w:themeColor="text1"/>
          <w14:textFill>
            <w14:solidFill>
              <w14:schemeClr w14:val="tx1"/>
            </w14:solidFill>
          </w14:textFill>
        </w:rPr>
        <w:t>移交责任</w:t>
      </w:r>
      <w:bookmarkEnd w:id="462"/>
      <w:bookmarkEnd w:id="463"/>
      <w:bookmarkEnd w:id="464"/>
      <w:bookmarkEnd w:id="465"/>
      <w:bookmarkEnd w:id="466"/>
      <w:bookmarkEnd w:id="467"/>
    </w:p>
    <w:p w14:paraId="4D89D107">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移交过程中，如发现资产出现瑕疵，无法满足移交标准的，项目公司应当负责维修，或给予折价赔偿。</w:t>
      </w:r>
    </w:p>
    <w:p w14:paraId="3B24E30B">
      <w:pPr>
        <w:pStyle w:val="7"/>
        <w:ind w:firstLine="562"/>
        <w:rPr>
          <w:color w:val="000000" w:themeColor="text1"/>
          <w14:textFill>
            <w14:solidFill>
              <w14:schemeClr w14:val="tx1"/>
            </w14:solidFill>
          </w14:textFill>
        </w:rPr>
      </w:pPr>
      <w:bookmarkStart w:id="468" w:name="_Toc41055957"/>
      <w:bookmarkStart w:id="469" w:name="_Toc41591214"/>
      <w:bookmarkStart w:id="470" w:name="_Toc41559690"/>
      <w:bookmarkStart w:id="471" w:name="_Toc43228582"/>
      <w:bookmarkStart w:id="472" w:name="_Toc43278654"/>
      <w:bookmarkStart w:id="473" w:name="_Toc41636246"/>
      <w:r>
        <w:rPr>
          <w:rFonts w:hint="eastAsia"/>
          <w:color w:val="000000" w:themeColor="text1"/>
          <w14:textFill>
            <w14:solidFill>
              <w14:schemeClr w14:val="tx1"/>
            </w14:solidFill>
          </w14:textFill>
        </w:rPr>
        <w:t>最后恢复性大修</w:t>
      </w:r>
      <w:bookmarkEnd w:id="468"/>
      <w:r>
        <w:rPr>
          <w:rFonts w:hint="eastAsia"/>
          <w:color w:val="000000" w:themeColor="text1"/>
          <w14:textFill>
            <w14:solidFill>
              <w14:schemeClr w14:val="tx1"/>
            </w14:solidFill>
          </w14:textFill>
        </w:rPr>
        <w:t>及设备重置</w:t>
      </w:r>
      <w:bookmarkEnd w:id="469"/>
      <w:bookmarkEnd w:id="470"/>
      <w:bookmarkEnd w:id="471"/>
      <w:bookmarkEnd w:id="472"/>
      <w:bookmarkEnd w:id="473"/>
    </w:p>
    <w:p w14:paraId="1126ED3F">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本项目移交日之前项目公司应对本项目设施进行一次恢复性大修，最后恢复性大修的具体时间和内容应由移交工作组确定。</w:t>
      </w:r>
    </w:p>
    <w:p w14:paraId="1D6851F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最后恢复性大修及设备重置，项目公司应确保本项目范围内所涉及所有设施、设备性能不低于能够满足移交日适用法律法规规定的性能要求和正常运营标准，确保项目设施在移交后缺陷责任期届满前正常运行，并且符合适用法律法规规定及特许经营协议约定的安全和环境保护等相关标准。最后恢复性大修的具体计划及安排（包括但不限于最后恢复性大修的范围、内容、预算及期限），须经政府方书面同意后方可实施。</w:t>
      </w:r>
    </w:p>
    <w:p w14:paraId="461D66E4">
      <w:pPr>
        <w:pStyle w:val="7"/>
        <w:ind w:firstLine="562"/>
        <w:rPr>
          <w:color w:val="000000" w:themeColor="text1"/>
          <w14:textFill>
            <w14:solidFill>
              <w14:schemeClr w14:val="tx1"/>
            </w14:solidFill>
          </w14:textFill>
        </w:rPr>
      </w:pPr>
      <w:bookmarkStart w:id="474" w:name="_Toc43278655"/>
      <w:bookmarkStart w:id="475" w:name="_Toc41636247"/>
      <w:bookmarkStart w:id="476" w:name="_Toc43228583"/>
      <w:bookmarkStart w:id="477" w:name="_Toc41055958"/>
      <w:bookmarkStart w:id="478" w:name="_Toc41559691"/>
      <w:bookmarkStart w:id="479" w:name="_Toc41591215"/>
      <w:r>
        <w:rPr>
          <w:rFonts w:hint="eastAsia"/>
          <w:color w:val="000000" w:themeColor="text1"/>
          <w14:textFill>
            <w14:solidFill>
              <w14:schemeClr w14:val="tx1"/>
            </w14:solidFill>
          </w14:textFill>
        </w:rPr>
        <w:t>缺陷责任期</w:t>
      </w:r>
      <w:bookmarkEnd w:id="474"/>
      <w:bookmarkEnd w:id="475"/>
      <w:bookmarkEnd w:id="476"/>
      <w:bookmarkEnd w:id="477"/>
      <w:bookmarkEnd w:id="478"/>
      <w:bookmarkEnd w:id="479"/>
    </w:p>
    <w:p w14:paraId="710123D3">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缺陷责任期为移交日次日起十二（12）个月（如在该期间，项目公司未完成对项目设施缺陷或损坏的修复，则缺陷责任期自动延长至项目公司完成对项目设施缺陷或损坏的修复之日止，延长期间新产生的缺陷或损坏不由项目公司负责）。缺陷责任期内，项目公司须按适用法律法规的规定及特许经营协议的约定履行项目设施的修复义务（因接受移交的单位使用不当造成的损坏除外），修复项目设施的任何部分在项目</w:t>
      </w:r>
      <w:r>
        <w:rPr>
          <w:color w:val="000000" w:themeColor="text1"/>
          <w14:textFill>
            <w14:solidFill>
              <w14:schemeClr w14:val="tx1"/>
            </w14:solidFill>
          </w14:textFill>
        </w:rPr>
        <w:t>特许经营</w:t>
      </w:r>
      <w:r>
        <w:rPr>
          <w:rFonts w:hint="eastAsia"/>
          <w:color w:val="000000" w:themeColor="text1"/>
          <w14:textFill>
            <w14:solidFill>
              <w14:schemeClr w14:val="tx1"/>
            </w14:solidFill>
          </w14:textFill>
        </w:rPr>
        <w:t>期限内出现的任何缺陷或损坏，并提供满足正常生产需要的技术咨询服务。</w:t>
      </w:r>
    </w:p>
    <w:p w14:paraId="53C83E2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如果项目公司在收到政府方的修复通知后的合理时间内不能或拒绝修复缺陷，政府方有权自行或请第三方进行修复，项目公司应为此支付合理且必要的修理费用，否则政府方有权从移交维修保函中兑取相应金额，</w:t>
      </w:r>
      <w:bookmarkStart w:id="480" w:name="_Hlk84868850"/>
      <w:r>
        <w:rPr>
          <w:rFonts w:hint="eastAsia"/>
          <w:color w:val="000000" w:themeColor="text1"/>
          <w14:textFill>
            <w14:solidFill>
              <w14:schemeClr w14:val="tx1"/>
            </w14:solidFill>
          </w14:textFill>
        </w:rPr>
        <w:t>仍不足以支付的政府方有权向项目公司追偿。</w:t>
      </w:r>
      <w:bookmarkEnd w:id="480"/>
    </w:p>
    <w:p w14:paraId="44062D2C">
      <w:pPr>
        <w:pStyle w:val="6"/>
        <w:numPr>
          <w:ilvl w:val="3"/>
          <w:numId w:val="64"/>
        </w:numPr>
        <w:spacing w:before="156" w:after="156"/>
        <w:rPr>
          <w:color w:val="000000" w:themeColor="text1"/>
          <w14:textFill>
            <w14:solidFill>
              <w14:schemeClr w14:val="tx1"/>
            </w14:solidFill>
          </w14:textFill>
        </w:rPr>
      </w:pPr>
      <w:bookmarkStart w:id="481" w:name="_Toc11317"/>
      <w:r>
        <w:rPr>
          <w:rFonts w:hint="eastAsia"/>
          <w:color w:val="000000" w:themeColor="text1"/>
          <w14:textFill>
            <w14:solidFill>
              <w14:schemeClr w14:val="tx1"/>
            </w14:solidFill>
          </w14:textFill>
        </w:rPr>
        <w:t>提前终止</w:t>
      </w:r>
      <w:bookmarkEnd w:id="481"/>
    </w:p>
    <w:p w14:paraId="3BFFCF3F">
      <w:pPr>
        <w:pStyle w:val="7"/>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导致提前终止的情形</w:t>
      </w:r>
    </w:p>
    <w:p w14:paraId="5FBE6AB1">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政府方</w:t>
      </w:r>
      <w:r>
        <w:rPr>
          <w:color w:val="000000" w:themeColor="text1"/>
          <w14:textFill>
            <w14:solidFill>
              <w14:schemeClr w14:val="tx1"/>
            </w14:solidFill>
          </w14:textFill>
        </w:rPr>
        <w:t>严重违约</w:t>
      </w:r>
    </w:p>
    <w:p w14:paraId="270FFB1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下述每一条所述事件，非不可抗力或项目公司违约所致，在纠正期限内未能纠正，即构成政府方严重违约事件，项目公司有权立即发出终止意向通知：</w:t>
      </w:r>
    </w:p>
    <w:p w14:paraId="2B2085B0">
      <w:pPr>
        <w:numPr>
          <w:ilvl w:val="0"/>
          <w:numId w:val="8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政府方任何声明被证明在做出时在实质方面不正确，使政府方履行特许经营协议的能力受到严重的不利影响；</w:t>
      </w:r>
    </w:p>
    <w:p w14:paraId="19B56CBC">
      <w:pPr>
        <w:numPr>
          <w:ilvl w:val="0"/>
          <w:numId w:val="8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政府方违反特许经营协议未能有效维护项目公司</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的独占性及排他性，对项目公司的</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造成严重妨碍；</w:t>
      </w:r>
    </w:p>
    <w:p w14:paraId="601919D3">
      <w:pPr>
        <w:numPr>
          <w:ilvl w:val="0"/>
          <w:numId w:val="8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在未征得项目公司书面同意条件下，政府方违反特许经营协议超过约定时间仍未足额付清整一年度垃圾处理服务费；</w:t>
      </w:r>
    </w:p>
    <w:p w14:paraId="3E008FF7">
      <w:pPr>
        <w:numPr>
          <w:ilvl w:val="0"/>
          <w:numId w:val="8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政府方违反特许经营协议擅自行使介入权的，或介入超过规定时间；</w:t>
      </w:r>
    </w:p>
    <w:p w14:paraId="369FC82E">
      <w:pPr>
        <w:numPr>
          <w:ilvl w:val="0"/>
          <w:numId w:val="85"/>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除上述情形外，政府方未履行特许经营协议项下的义务构成对特许经营协议的实质性违约，并且在收到项目公司说明其违约并要求补救的书面通知后仍未能补救该实质性违约。</w:t>
      </w:r>
    </w:p>
    <w:p w14:paraId="2ACF5132">
      <w:pPr>
        <w:pStyle w:val="8"/>
        <w:rPr>
          <w:color w:val="000000" w:themeColor="text1"/>
          <w14:textFill>
            <w14:solidFill>
              <w14:schemeClr w14:val="tx1"/>
            </w14:solidFill>
          </w14:textFill>
        </w:rPr>
      </w:pPr>
      <w:r>
        <w:rPr>
          <w:color w:val="000000" w:themeColor="text1"/>
          <w14:textFill>
            <w14:solidFill>
              <w14:schemeClr w14:val="tx1"/>
            </w14:solidFill>
          </w14:textFill>
        </w:rPr>
        <w:t>项目公司严重违约</w:t>
      </w:r>
    </w:p>
    <w:p w14:paraId="6E6AC5C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下述每一条所述事件，如果不是由于不可抗力或政府方违约所致，如在纠正期限内</w:t>
      </w:r>
      <w:r>
        <w:rPr>
          <w:rFonts w:hint="eastAsia" w:ascii="Times New Roman" w:hAnsi="Times New Roman" w:eastAsia="仿宋" w:cs="Times New Roman"/>
          <w:kern w:val="2"/>
          <w:sz w:val="28"/>
          <w:szCs w:val="22"/>
          <w:lang w:val="en-US" w:eastAsia="zh-CN" w:bidi="ar"/>
        </w:rPr>
        <w:t>（自实施机构发出书面整改要求后</w:t>
      </w:r>
      <w:r>
        <w:rPr>
          <w:rFonts w:hint="default" w:ascii="Times New Roman" w:hAnsi="Times New Roman" w:eastAsia="仿宋" w:cs="Times New Roman"/>
          <w:kern w:val="2"/>
          <w:sz w:val="28"/>
          <w:szCs w:val="22"/>
          <w:lang w:val="en-US" w:eastAsia="zh-CN" w:bidi="ar"/>
        </w:rPr>
        <w:t>60</w:t>
      </w:r>
      <w:r>
        <w:rPr>
          <w:rFonts w:hint="eastAsia" w:ascii="Times New Roman" w:hAnsi="Times New Roman" w:eastAsia="仿宋" w:cs="Times New Roman"/>
          <w:kern w:val="2"/>
          <w:sz w:val="28"/>
          <w:szCs w:val="22"/>
          <w:lang w:val="en-US" w:eastAsia="zh-CN" w:bidi="ar"/>
        </w:rPr>
        <w:t>日）</w:t>
      </w:r>
      <w:r>
        <w:rPr>
          <w:rFonts w:hint="eastAsia"/>
          <w:color w:val="000000" w:themeColor="text1"/>
          <w14:textFill>
            <w14:solidFill>
              <w14:schemeClr w14:val="tx1"/>
            </w14:solidFill>
          </w14:textFill>
        </w:rPr>
        <w:t>未能纠正</w:t>
      </w:r>
      <w:r>
        <w:rPr>
          <w:rFonts w:hint="eastAsia" w:ascii="Times New Roman" w:hAnsi="Times New Roman" w:eastAsia="仿宋" w:cs="Times New Roman"/>
          <w:kern w:val="2"/>
          <w:sz w:val="28"/>
          <w:szCs w:val="22"/>
          <w:lang w:val="en-US" w:eastAsia="zh-CN" w:bidi="ar"/>
        </w:rPr>
        <w:t>且给项目建设运营产生重大不利影响的</w:t>
      </w:r>
      <w:r>
        <w:rPr>
          <w:rFonts w:hint="eastAsia"/>
          <w:color w:val="000000" w:themeColor="text1"/>
          <w14:textFill>
            <w14:solidFill>
              <w14:schemeClr w14:val="tx1"/>
            </w14:solidFill>
          </w14:textFill>
        </w:rPr>
        <w:t>，即构成项目公司严重违约事件，政府方有权立即发出终止意向通知：</w:t>
      </w:r>
    </w:p>
    <w:p w14:paraId="113147BF">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不按特许经营协议的约定成立项目公司，或者在项目实施过程中抽回项目资本金；</w:t>
      </w:r>
    </w:p>
    <w:p w14:paraId="2A9A1A91">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在项目实施过程中侵占和挪用项目资金；</w:t>
      </w:r>
    </w:p>
    <w:p w14:paraId="74F9FEA5">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项目公司任何声明被证明在做出之时实质不属实，使项目公司履行特许经营协议的能力受到严重的不利影响；</w:t>
      </w:r>
    </w:p>
    <w:p w14:paraId="35AAF535">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未能根据特许经营协议约定提交履约保函或未能补充履约保函金额或未保持任一保函持续有效；</w:t>
      </w:r>
    </w:p>
    <w:p w14:paraId="7A8DB011">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项目公司违反特许经营协议擅自出租、转让</w:t>
      </w:r>
      <w:r>
        <w:rPr>
          <w:rFonts w:hint="eastAsia"/>
          <w:color w:val="000000" w:themeColor="text1"/>
          <w:lang w:eastAsia="zh-CN"/>
          <w14:textFill>
            <w14:solidFill>
              <w14:schemeClr w14:val="tx1"/>
            </w14:solidFill>
          </w14:textFill>
        </w:rPr>
        <w:t>从事本项目特许经营活动的相关权利</w:t>
      </w:r>
      <w:r>
        <w:rPr>
          <w:rFonts w:hint="eastAsia"/>
          <w:color w:val="000000" w:themeColor="text1"/>
          <w14:textFill>
            <w14:solidFill>
              <w14:schemeClr w14:val="tx1"/>
            </w14:solidFill>
          </w14:textFill>
        </w:rPr>
        <w:t>；</w:t>
      </w:r>
    </w:p>
    <w:p w14:paraId="28A876C3">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项目公司擅自停业、歇业或因管理不善，发生重大质量、</w:t>
      </w:r>
      <w:r>
        <w:rPr>
          <w:rFonts w:hint="eastAsia"/>
          <w:color w:val="000000" w:themeColor="text1"/>
          <w:lang w:val="en-US" w:eastAsia="zh-CN"/>
          <w14:textFill>
            <w14:solidFill>
              <w14:schemeClr w14:val="tx1"/>
            </w14:solidFill>
          </w14:textFill>
        </w:rPr>
        <w:t>重大</w:t>
      </w:r>
      <w:r>
        <w:rPr>
          <w:rFonts w:hint="eastAsia"/>
          <w:color w:val="000000" w:themeColor="text1"/>
          <w14:textFill>
            <w14:solidFill>
              <w14:schemeClr w14:val="tx1"/>
            </w14:solidFill>
          </w14:textFill>
        </w:rPr>
        <w:t>安全及运营责任事故；</w:t>
      </w:r>
    </w:p>
    <w:p w14:paraId="31A6BCD3">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项目公司组织的招标或采购中出现违背招标投标法或采购法情形，被追究刑事责任或被处以较大数额罚款的；</w:t>
      </w:r>
    </w:p>
    <w:p w14:paraId="6A0F8700">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根据适用法律法规被强制或需强制进行清算或不能清偿到期债务造成根本违约；</w:t>
      </w:r>
    </w:p>
    <w:p w14:paraId="70BAEC7B">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项目公司被吊销企业法人营业执照；</w:t>
      </w:r>
    </w:p>
    <w:p w14:paraId="4E0F1096">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项目公司原因导致政府方介入本项目，且未在规定时间内对违约行为进行纠正；</w:t>
      </w:r>
    </w:p>
    <w:p w14:paraId="32FC2588">
      <w:pPr>
        <w:numPr>
          <w:ilvl w:val="0"/>
          <w:numId w:val="86"/>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除上述情形外，项目公司未履行特许经营协议项下的义务构成对特许经营协议的实质性违约（上述情形除外），并且在收到政府方说明其违约并要求补救的书面通知后仍未能补救该实质性违约。</w:t>
      </w:r>
    </w:p>
    <w:p w14:paraId="0E38A07C">
      <w:pPr>
        <w:pStyle w:val="8"/>
        <w:rPr>
          <w:color w:val="000000" w:themeColor="text1"/>
          <w14:textFill>
            <w14:solidFill>
              <w14:schemeClr w14:val="tx1"/>
            </w14:solidFill>
          </w14:textFill>
        </w:rPr>
      </w:pPr>
      <w:r>
        <w:rPr>
          <w:color w:val="000000" w:themeColor="text1"/>
          <w14:textFill>
            <w14:solidFill>
              <w14:schemeClr w14:val="tx1"/>
            </w14:solidFill>
          </w14:textFill>
        </w:rPr>
        <w:t>不可抗力事件</w:t>
      </w:r>
    </w:p>
    <w:p w14:paraId="2D7172DD">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如下列事件阻止一方履行其义务且经过努力仍不可克服，双方应协商决定继续履行合同的条件或者同意按照约定终止特许经营协议：</w:t>
      </w:r>
    </w:p>
    <w:p w14:paraId="74505C80">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雷电、干旱、地震、火山爆发、滑坡、水灾、暴风雨、海啸、洪水、台风、龙卷风或任何其它天灾；</w:t>
      </w:r>
      <w:r>
        <w:rPr>
          <w:rFonts w:hint="eastAsia" w:ascii="Times New Roman" w:hAnsi="Times New Roman" w:eastAsia="仿宋" w:cs="Times New Roman"/>
          <w:kern w:val="2"/>
          <w:sz w:val="28"/>
          <w:szCs w:val="22"/>
          <w:lang w:val="en-US" w:eastAsia="zh-CN" w:bidi="ar"/>
        </w:rPr>
        <w:t>或超过一定限度的导致无法正常施工或运营的极端天气（狂风、严寒）等；</w:t>
      </w:r>
    </w:p>
    <w:p w14:paraId="49F9A0FF">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大规模流行病、饥荒或瘟疫；</w:t>
      </w:r>
    </w:p>
    <w:p w14:paraId="08A23247">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战争行为（无论是宣战的或未宣战的）、入侵、武装冲突或敌对行为、封锁、暴乱、恐怖行为或军事力量的使用；</w:t>
      </w:r>
    </w:p>
    <w:p w14:paraId="516F86E3">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在本项目土地使用权范围内发现考古文物、化石、古墓及遗址、艺术历史遗物及具有考古学、地质学和历史意义的任何其他物品；</w:t>
      </w:r>
    </w:p>
    <w:p w14:paraId="3E969C0A">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飞机失事、船只失事、火车失事或不能合理预见的重大交通阻滞或停运；</w:t>
      </w:r>
    </w:p>
    <w:p w14:paraId="32ED02DA">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全国性、地区性或行业性罢工；</w:t>
      </w:r>
    </w:p>
    <w:p w14:paraId="49932928">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化学或放射性污染；</w:t>
      </w:r>
    </w:p>
    <w:p w14:paraId="2CC3E284">
      <w:pPr>
        <w:numPr>
          <w:ilvl w:val="0"/>
          <w:numId w:val="87"/>
        </w:numPr>
        <w:ind w:left="0" w:firstLine="560" w:firstLineChars="200"/>
        <w:rPr>
          <w:rFonts w:hint="eastAsia"/>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其他情形：如政府大型活动、周边群众阻工；</w:t>
      </w:r>
    </w:p>
    <w:p w14:paraId="2D9EB3B5">
      <w:pPr>
        <w:numPr>
          <w:ilvl w:val="0"/>
          <w:numId w:val="87"/>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市级政府不可控的法律法规变更；</w:t>
      </w:r>
    </w:p>
    <w:p w14:paraId="067032E6">
      <w:pPr>
        <w:pStyle w:val="7"/>
        <w:ind w:firstLine="562"/>
        <w:rPr>
          <w:color w:val="000000" w:themeColor="text1"/>
          <w14:textFill>
            <w14:solidFill>
              <w14:schemeClr w14:val="tx1"/>
            </w14:solidFill>
          </w14:textFill>
        </w:rPr>
      </w:pPr>
      <w:bookmarkStart w:id="482" w:name="_Toc41559706"/>
      <w:bookmarkStart w:id="483" w:name="_Toc41591230"/>
      <w:bookmarkStart w:id="484" w:name="_Toc41055973"/>
      <w:bookmarkStart w:id="485" w:name="_Toc41636262"/>
      <w:bookmarkStart w:id="486" w:name="_Toc43278670"/>
      <w:bookmarkStart w:id="487" w:name="_Toc43228598"/>
      <w:r>
        <w:rPr>
          <w:rFonts w:hint="eastAsia"/>
          <w:color w:val="000000" w:themeColor="text1"/>
          <w14:textFill>
            <w14:solidFill>
              <w14:schemeClr w14:val="tx1"/>
            </w14:solidFill>
          </w14:textFill>
        </w:rPr>
        <w:t>提前终止补偿</w:t>
      </w:r>
      <w:bookmarkEnd w:id="482"/>
      <w:bookmarkEnd w:id="483"/>
      <w:bookmarkEnd w:id="484"/>
      <w:bookmarkEnd w:id="485"/>
      <w:bookmarkEnd w:id="486"/>
      <w:bookmarkEnd w:id="487"/>
    </w:p>
    <w:p w14:paraId="46B49FDB">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）项目公司违约事件导致的终止</w:t>
      </w:r>
    </w:p>
    <w:p w14:paraId="494B42F8">
      <w:pPr>
        <w:ind w:firstLine="560" w:firstLineChars="20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在生效日期后，如果实施机构因项目公司违约事件而终止本协议，则实施机构应有权收回项目公司对本项目的相关权益。实施机构在向项目公司支付补偿金额后，项目公司对该项目的相关权益将转归实施机构所有。</w:t>
      </w:r>
    </w:p>
    <w:p w14:paraId="31398B79">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）实施机构违约事件导致的终止</w:t>
      </w:r>
    </w:p>
    <w:p w14:paraId="14A1EBC0">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生效日期后，如果项目公司因实施机构违约事件而终止本协议，则项目公司有权要求实施机构收回该项目的相关权益。实施机构在向项目公司支付补偿金额后，项目公司在该项目中的相关权益将转归实施机构所有。</w:t>
      </w:r>
    </w:p>
    <w:p w14:paraId="18E9398A">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）不可抗力事件导致的终止</w:t>
      </w:r>
    </w:p>
    <w:p w14:paraId="4BF267AF">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如果因不可抗力事件导致任何一方终止协议，实施机构应向项目公司支付补偿金额。实施机构支付该项目的补偿金额后，项目公司将该项目中的相关权益转让给实施机构。</w:t>
      </w:r>
    </w:p>
    <w:p w14:paraId="2643999D">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）终止补偿金额</w:t>
      </w:r>
    </w:p>
    <w:p w14:paraId="440870D4">
      <w:pPr>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提前终止补偿金额计算表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22"/>
        <w:gridCol w:w="2608"/>
        <w:gridCol w:w="4990"/>
      </w:tblGrid>
      <w:tr w14:paraId="553E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41" w:type="pct"/>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55C718E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序号</w:t>
            </w:r>
          </w:p>
        </w:tc>
        <w:tc>
          <w:tcPr>
            <w:tcW w:w="1530" w:type="pct"/>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6183631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提前终止情形</w:t>
            </w:r>
          </w:p>
        </w:tc>
        <w:tc>
          <w:tcPr>
            <w:tcW w:w="2928" w:type="pct"/>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14:paraId="44A4182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sz w:val="24"/>
                <w:szCs w:val="24"/>
                <w:lang w:val="en-US"/>
              </w:rPr>
            </w:pPr>
            <w:r>
              <w:rPr>
                <w:rFonts w:hint="default" w:ascii="Times New Roman" w:hAnsi="Times New Roman" w:eastAsia="仿宋" w:cs="Times New Roman"/>
                <w:b/>
                <w:bCs w:val="0"/>
                <w:kern w:val="2"/>
                <w:sz w:val="24"/>
                <w:szCs w:val="24"/>
                <w:lang w:val="en-US" w:eastAsia="zh-CN" w:bidi="ar"/>
              </w:rPr>
              <w:t>终止补偿金</w:t>
            </w:r>
          </w:p>
        </w:tc>
      </w:tr>
      <w:tr w14:paraId="7454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1" w:type="pct"/>
            <w:vMerge w:val="restart"/>
            <w:tcBorders>
              <w:top w:val="nil"/>
              <w:left w:val="single" w:color="auto" w:sz="4" w:space="0"/>
              <w:bottom w:val="single" w:color="auto" w:sz="4" w:space="0"/>
              <w:right w:val="single" w:color="auto" w:sz="4" w:space="0"/>
            </w:tcBorders>
            <w:shd w:val="clear" w:color="auto" w:fill="auto"/>
            <w:vAlign w:val="center"/>
          </w:tcPr>
          <w:p w14:paraId="776B039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w:t>
            </w:r>
          </w:p>
        </w:tc>
        <w:tc>
          <w:tcPr>
            <w:tcW w:w="1530" w:type="pct"/>
            <w:vMerge w:val="restart"/>
            <w:tcBorders>
              <w:top w:val="nil"/>
              <w:left w:val="single" w:color="auto" w:sz="4" w:space="0"/>
              <w:bottom w:val="single" w:color="auto" w:sz="4" w:space="0"/>
              <w:right w:val="single" w:color="auto" w:sz="4" w:space="0"/>
            </w:tcBorders>
            <w:shd w:val="clear" w:color="auto" w:fill="auto"/>
            <w:vAlign w:val="center"/>
          </w:tcPr>
          <w:p w14:paraId="2CE63EC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项目公司违约</w:t>
            </w: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3339DE7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建设期间终止时，为A</w:t>
            </w:r>
            <w:r>
              <w:rPr>
                <w:rFonts w:hint="default" w:ascii="Times New Roman" w:hAnsi="Times New Roman" w:eastAsia="仿宋" w:cs="Times New Roman"/>
                <w:kern w:val="2"/>
                <w:sz w:val="24"/>
                <w:szCs w:val="24"/>
                <w:vertAlign w:val="subscript"/>
                <w:lang w:val="en-US" w:eastAsia="zh-CN" w:bidi="ar"/>
              </w:rPr>
              <w:t>1</w:t>
            </w:r>
            <w:r>
              <w:rPr>
                <w:rFonts w:hint="default" w:ascii="Times New Roman" w:hAnsi="Times New Roman" w:eastAsia="仿宋" w:cs="Times New Roman"/>
                <w:kern w:val="2"/>
                <w:sz w:val="24"/>
                <w:szCs w:val="24"/>
                <w:lang w:val="en-US" w:eastAsia="zh-CN" w:bidi="ar"/>
              </w:rPr>
              <w:t>*80%</w:t>
            </w:r>
          </w:p>
        </w:tc>
      </w:tr>
      <w:tr w14:paraId="3BAE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541" w:type="pct"/>
            <w:vMerge w:val="continue"/>
            <w:tcBorders>
              <w:top w:val="nil"/>
              <w:left w:val="single" w:color="auto" w:sz="4" w:space="0"/>
              <w:bottom w:val="single" w:color="auto" w:sz="4" w:space="0"/>
              <w:right w:val="single" w:color="auto" w:sz="4" w:space="0"/>
            </w:tcBorders>
            <w:shd w:val="clear" w:color="auto" w:fill="auto"/>
            <w:vAlign w:val="center"/>
          </w:tcPr>
          <w:p w14:paraId="6558FE06">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1530" w:type="pct"/>
            <w:vMerge w:val="continue"/>
            <w:tcBorders>
              <w:top w:val="nil"/>
              <w:left w:val="single" w:color="auto" w:sz="4" w:space="0"/>
              <w:bottom w:val="single" w:color="auto" w:sz="4" w:space="0"/>
              <w:right w:val="single" w:color="auto" w:sz="4" w:space="0"/>
            </w:tcBorders>
            <w:shd w:val="clear" w:color="auto" w:fill="auto"/>
            <w:vAlign w:val="center"/>
          </w:tcPr>
          <w:p w14:paraId="775D49E9">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3D6CE02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运营期间终止时，为A</w:t>
            </w:r>
            <w:r>
              <w:rPr>
                <w:rFonts w:hint="default" w:ascii="Times New Roman" w:hAnsi="Times New Roman" w:eastAsia="仿宋" w:cs="Times New Roman"/>
                <w:kern w:val="2"/>
                <w:sz w:val="24"/>
                <w:szCs w:val="24"/>
                <w:vertAlign w:val="subscript"/>
                <w:lang w:val="en-US" w:eastAsia="zh-CN" w:bidi="ar"/>
              </w:rPr>
              <w:t>2</w:t>
            </w:r>
            <w:r>
              <w:rPr>
                <w:rFonts w:hint="default" w:ascii="Times New Roman" w:hAnsi="Times New Roman" w:eastAsia="仿宋" w:cs="Times New Roman"/>
                <w:kern w:val="2"/>
                <w:sz w:val="24"/>
                <w:szCs w:val="24"/>
                <w:lang w:val="en-US" w:eastAsia="zh-CN" w:bidi="ar"/>
              </w:rPr>
              <w:t>*80%+E</w:t>
            </w:r>
          </w:p>
        </w:tc>
      </w:tr>
      <w:tr w14:paraId="6030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1" w:type="pct"/>
            <w:vMerge w:val="restart"/>
            <w:tcBorders>
              <w:top w:val="nil"/>
              <w:left w:val="single" w:color="auto" w:sz="4" w:space="0"/>
              <w:bottom w:val="single" w:color="auto" w:sz="4" w:space="0"/>
              <w:right w:val="single" w:color="auto" w:sz="4" w:space="0"/>
            </w:tcBorders>
            <w:shd w:val="clear" w:color="auto" w:fill="auto"/>
            <w:vAlign w:val="center"/>
          </w:tcPr>
          <w:p w14:paraId="3A575F9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2</w:t>
            </w:r>
          </w:p>
        </w:tc>
        <w:tc>
          <w:tcPr>
            <w:tcW w:w="1530" w:type="pct"/>
            <w:vMerge w:val="restart"/>
            <w:tcBorders>
              <w:top w:val="nil"/>
              <w:left w:val="single" w:color="auto" w:sz="4" w:space="0"/>
              <w:bottom w:val="single" w:color="auto" w:sz="4" w:space="0"/>
              <w:right w:val="single" w:color="auto" w:sz="4" w:space="0"/>
            </w:tcBorders>
            <w:shd w:val="clear" w:color="auto" w:fill="auto"/>
            <w:vAlign w:val="center"/>
          </w:tcPr>
          <w:p w14:paraId="45D1804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甲方违约</w:t>
            </w: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1969F84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建设期间终止时，为A</w:t>
            </w:r>
            <w:r>
              <w:rPr>
                <w:rFonts w:hint="default" w:ascii="Times New Roman" w:hAnsi="Times New Roman" w:eastAsia="仿宋" w:cs="Times New Roman"/>
                <w:kern w:val="2"/>
                <w:sz w:val="24"/>
                <w:szCs w:val="24"/>
                <w:vertAlign w:val="subscript"/>
                <w:lang w:val="en-US" w:eastAsia="zh-CN" w:bidi="ar"/>
              </w:rPr>
              <w:t>1</w:t>
            </w:r>
            <w:r>
              <w:rPr>
                <w:rFonts w:hint="default" w:ascii="Times New Roman" w:hAnsi="Times New Roman" w:eastAsia="仿宋" w:cs="Times New Roman"/>
                <w:kern w:val="2"/>
                <w:sz w:val="24"/>
                <w:szCs w:val="24"/>
                <w:lang w:val="en-US" w:eastAsia="zh-CN" w:bidi="ar"/>
              </w:rPr>
              <w:t>*120%</w:t>
            </w:r>
          </w:p>
        </w:tc>
      </w:tr>
      <w:tr w14:paraId="24D5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541" w:type="pct"/>
            <w:vMerge w:val="continue"/>
            <w:tcBorders>
              <w:top w:val="nil"/>
              <w:left w:val="single" w:color="auto" w:sz="4" w:space="0"/>
              <w:bottom w:val="single" w:color="auto" w:sz="4" w:space="0"/>
              <w:right w:val="single" w:color="auto" w:sz="4" w:space="0"/>
            </w:tcBorders>
            <w:shd w:val="clear" w:color="auto" w:fill="auto"/>
            <w:vAlign w:val="center"/>
          </w:tcPr>
          <w:p w14:paraId="527A66BD">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1530" w:type="pct"/>
            <w:vMerge w:val="continue"/>
            <w:tcBorders>
              <w:top w:val="nil"/>
              <w:left w:val="single" w:color="auto" w:sz="4" w:space="0"/>
              <w:bottom w:val="single" w:color="auto" w:sz="4" w:space="0"/>
              <w:right w:val="single" w:color="auto" w:sz="4" w:space="0"/>
            </w:tcBorders>
            <w:shd w:val="clear" w:color="auto" w:fill="auto"/>
            <w:vAlign w:val="center"/>
          </w:tcPr>
          <w:p w14:paraId="67E17F08">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0BE83E0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运营期间终止时，为A</w:t>
            </w:r>
            <w:r>
              <w:rPr>
                <w:rFonts w:hint="default" w:ascii="Times New Roman" w:hAnsi="Times New Roman" w:eastAsia="仿宋" w:cs="Times New Roman"/>
                <w:kern w:val="2"/>
                <w:sz w:val="24"/>
                <w:szCs w:val="24"/>
                <w:vertAlign w:val="subscript"/>
                <w:lang w:val="en-US" w:eastAsia="zh-CN" w:bidi="ar"/>
              </w:rPr>
              <w:t>2</w:t>
            </w:r>
            <w:r>
              <w:rPr>
                <w:rFonts w:hint="default" w:ascii="Times New Roman" w:hAnsi="Times New Roman" w:eastAsia="仿宋" w:cs="Times New Roman"/>
                <w:kern w:val="2"/>
                <w:sz w:val="24"/>
                <w:szCs w:val="24"/>
                <w:lang w:val="en-US" w:eastAsia="zh-CN" w:bidi="ar"/>
              </w:rPr>
              <w:t>*120%+E</w:t>
            </w:r>
          </w:p>
        </w:tc>
      </w:tr>
      <w:tr w14:paraId="45ED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1" w:type="pct"/>
            <w:vMerge w:val="restart"/>
            <w:tcBorders>
              <w:top w:val="nil"/>
              <w:left w:val="single" w:color="auto" w:sz="4" w:space="0"/>
              <w:bottom w:val="single" w:color="auto" w:sz="4" w:space="0"/>
              <w:right w:val="single" w:color="auto" w:sz="4" w:space="0"/>
            </w:tcBorders>
            <w:shd w:val="clear" w:color="auto" w:fill="auto"/>
            <w:vAlign w:val="center"/>
          </w:tcPr>
          <w:p w14:paraId="461AA0A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3</w:t>
            </w:r>
          </w:p>
        </w:tc>
        <w:tc>
          <w:tcPr>
            <w:tcW w:w="1530" w:type="pct"/>
            <w:vMerge w:val="restart"/>
            <w:tcBorders>
              <w:top w:val="nil"/>
              <w:left w:val="single" w:color="auto" w:sz="4" w:space="0"/>
              <w:bottom w:val="single" w:color="auto" w:sz="4" w:space="0"/>
              <w:right w:val="single" w:color="auto" w:sz="4" w:space="0"/>
            </w:tcBorders>
            <w:shd w:val="clear" w:color="auto" w:fill="auto"/>
            <w:vAlign w:val="center"/>
          </w:tcPr>
          <w:p w14:paraId="3364A13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不可抗力</w:t>
            </w: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4E8CC11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建设期间终止时，为（A</w:t>
            </w:r>
            <w:r>
              <w:rPr>
                <w:rFonts w:hint="default" w:ascii="Times New Roman" w:hAnsi="Times New Roman" w:eastAsia="仿宋" w:cs="Times New Roman"/>
                <w:kern w:val="2"/>
                <w:sz w:val="24"/>
                <w:szCs w:val="24"/>
                <w:vertAlign w:val="subscript"/>
                <w:lang w:val="en-US" w:eastAsia="zh-CN" w:bidi="ar"/>
              </w:rPr>
              <w:t>1</w:t>
            </w:r>
            <w:r>
              <w:rPr>
                <w:rFonts w:hint="default" w:ascii="Times New Roman" w:hAnsi="Times New Roman" w:eastAsia="仿宋" w:cs="Times New Roman"/>
                <w:kern w:val="2"/>
                <w:sz w:val="24"/>
                <w:szCs w:val="24"/>
                <w:lang w:val="en-US" w:eastAsia="zh-CN" w:bidi="ar"/>
              </w:rPr>
              <w:t>-F）/2</w:t>
            </w:r>
          </w:p>
        </w:tc>
      </w:tr>
      <w:tr w14:paraId="71F3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1" w:type="pct"/>
            <w:vMerge w:val="continue"/>
            <w:tcBorders>
              <w:top w:val="nil"/>
              <w:left w:val="single" w:color="auto" w:sz="4" w:space="0"/>
              <w:bottom w:val="single" w:color="auto" w:sz="4" w:space="0"/>
              <w:right w:val="single" w:color="auto" w:sz="4" w:space="0"/>
            </w:tcBorders>
            <w:shd w:val="clear" w:color="auto" w:fill="auto"/>
            <w:vAlign w:val="center"/>
          </w:tcPr>
          <w:p w14:paraId="17760404">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1530" w:type="pct"/>
            <w:vMerge w:val="continue"/>
            <w:tcBorders>
              <w:top w:val="nil"/>
              <w:left w:val="single" w:color="auto" w:sz="4" w:space="0"/>
              <w:bottom w:val="single" w:color="auto" w:sz="4" w:space="0"/>
              <w:right w:val="single" w:color="auto" w:sz="4" w:space="0"/>
            </w:tcBorders>
            <w:shd w:val="clear" w:color="auto" w:fill="auto"/>
            <w:vAlign w:val="center"/>
          </w:tcPr>
          <w:p w14:paraId="372FF07B">
            <w:pPr>
              <w:keepNext w:val="0"/>
              <w:keepLines w:val="0"/>
              <w:pageBreakBefore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仿宋" w:cs="Times New Roman"/>
                <w:sz w:val="24"/>
                <w:szCs w:val="24"/>
              </w:rPr>
            </w:pP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5771170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运营期间终止时，为（A</w:t>
            </w:r>
            <w:r>
              <w:rPr>
                <w:rFonts w:hint="default" w:ascii="Times New Roman" w:hAnsi="Times New Roman" w:eastAsia="仿宋" w:cs="Times New Roman"/>
                <w:kern w:val="2"/>
                <w:sz w:val="24"/>
                <w:szCs w:val="24"/>
                <w:vertAlign w:val="subscript"/>
                <w:lang w:val="en-US" w:eastAsia="zh-CN" w:bidi="ar"/>
              </w:rPr>
              <w:t>2</w:t>
            </w:r>
            <w:r>
              <w:rPr>
                <w:rFonts w:hint="default" w:ascii="Times New Roman" w:hAnsi="Times New Roman" w:eastAsia="仿宋" w:cs="Times New Roman"/>
                <w:kern w:val="2"/>
                <w:sz w:val="24"/>
                <w:szCs w:val="24"/>
                <w:lang w:val="en-US" w:eastAsia="zh-CN" w:bidi="ar"/>
              </w:rPr>
              <w:t>-F）/2+E</w:t>
            </w:r>
          </w:p>
        </w:tc>
      </w:tr>
      <w:tr w14:paraId="7BF4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73110F7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4</w:t>
            </w:r>
          </w:p>
        </w:tc>
        <w:tc>
          <w:tcPr>
            <w:tcW w:w="1530" w:type="pct"/>
            <w:tcBorders>
              <w:top w:val="single" w:color="auto" w:sz="4" w:space="0"/>
              <w:left w:val="single" w:color="auto" w:sz="4" w:space="0"/>
              <w:bottom w:val="single" w:color="auto" w:sz="4" w:space="0"/>
              <w:right w:val="single" w:color="auto" w:sz="4" w:space="0"/>
            </w:tcBorders>
            <w:shd w:val="clear" w:color="auto" w:fill="auto"/>
            <w:vAlign w:val="center"/>
          </w:tcPr>
          <w:p w14:paraId="520FB2C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双方协商一致</w:t>
            </w:r>
          </w:p>
        </w:tc>
        <w:tc>
          <w:tcPr>
            <w:tcW w:w="2928" w:type="pct"/>
            <w:tcBorders>
              <w:top w:val="single" w:color="auto" w:sz="4" w:space="0"/>
              <w:left w:val="single" w:color="auto" w:sz="4" w:space="0"/>
              <w:bottom w:val="single" w:color="auto" w:sz="4" w:space="0"/>
              <w:right w:val="single" w:color="auto" w:sz="4" w:space="0"/>
            </w:tcBorders>
            <w:shd w:val="clear" w:color="auto" w:fill="auto"/>
            <w:vAlign w:val="center"/>
          </w:tcPr>
          <w:p w14:paraId="1940562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按双方协商结果执行</w:t>
            </w:r>
          </w:p>
        </w:tc>
      </w:tr>
    </w:tbl>
    <w:p w14:paraId="7050AE3D">
      <w:pPr>
        <w:ind w:firstLine="56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w:t>
      </w:r>
    </w:p>
    <w:p w14:paraId="7F83F235">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A1</w:t>
      </w:r>
      <w:r>
        <w:rPr>
          <w:rFonts w:hint="eastAsia"/>
          <w:color w:val="000000" w:themeColor="text1"/>
          <w:lang w:val="en-US" w:eastAsia="zh-CN"/>
          <w14:textFill>
            <w14:solidFill>
              <w14:schemeClr w14:val="tx1"/>
            </w14:solidFill>
          </w14:textFill>
        </w:rPr>
        <w:t>为项目公司已实际发生的投资金额（以评审为准）；</w:t>
      </w:r>
    </w:p>
    <w:p w14:paraId="2EF6E51D">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A2</w:t>
      </w:r>
      <w:r>
        <w:rPr>
          <w:rFonts w:hint="eastAsia"/>
          <w:color w:val="000000" w:themeColor="text1"/>
          <w:lang w:val="en-US" w:eastAsia="zh-CN"/>
          <w14:textFill>
            <w14:solidFill>
              <w14:schemeClr w14:val="tx1"/>
            </w14:solidFill>
          </w14:textFill>
        </w:rPr>
        <w:t>为项目公司在提前终止时的金融资产账面净值（指因资产所有权归政府方所有，项目公司将本项目固定资产记账处理为金融资产的部分）；</w:t>
      </w:r>
    </w:p>
    <w:p w14:paraId="6047103D">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E</w:t>
      </w:r>
      <w:r>
        <w:rPr>
          <w:rFonts w:hint="eastAsia"/>
          <w:color w:val="000000" w:themeColor="text1"/>
          <w:lang w:val="en-US" w:eastAsia="zh-CN"/>
          <w14:textFill>
            <w14:solidFill>
              <w14:schemeClr w14:val="tx1"/>
            </w14:solidFill>
          </w14:textFill>
        </w:rPr>
        <w:t>为终止后根据特许经营协议的约定，项目公司应向实施机构移交运营维护所需的零部件、备品备件和化学品的合理评估值。</w:t>
      </w:r>
    </w:p>
    <w:p w14:paraId="0D3DAB91">
      <w:pPr>
        <w:ind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F</w:t>
      </w:r>
      <w:r>
        <w:rPr>
          <w:rFonts w:hint="eastAsia"/>
          <w:color w:val="000000" w:themeColor="text1"/>
          <w:lang w:val="en-US" w:eastAsia="zh-CN"/>
          <w14:textFill>
            <w14:solidFill>
              <w14:schemeClr w14:val="tx1"/>
            </w14:solidFill>
          </w14:textFill>
        </w:rPr>
        <w:t>为项目公司遵守特许权协议项下的购买保险义务即有权获得的全部保险付款（包括认定保险赔款）。</w:t>
      </w:r>
    </w:p>
    <w:p w14:paraId="3D0A6DA4">
      <w:pPr>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如属项目公司违约、政府方发出终止情形的，则政府方有权自本项目提前终止之日起两年内（如剩余合作期短于两年的，则本处指余下的合作期）分期分批次向项目公司支付补偿金，具体分批次的支付比例及时间进度安排由政府方确定。</w:t>
      </w:r>
    </w:p>
    <w:p w14:paraId="25A4DAD3">
      <w:pPr>
        <w:pStyle w:val="6"/>
        <w:numPr>
          <w:ilvl w:val="3"/>
          <w:numId w:val="64"/>
        </w:numPr>
        <w:spacing w:before="156" w:after="156"/>
        <w:rPr>
          <w:color w:val="000000" w:themeColor="text1"/>
          <w14:textFill>
            <w14:solidFill>
              <w14:schemeClr w14:val="tx1"/>
            </w14:solidFill>
          </w14:textFill>
        </w:rPr>
      </w:pPr>
      <w:bookmarkStart w:id="488" w:name="_Toc14156"/>
      <w:r>
        <w:rPr>
          <w:rFonts w:hint="eastAsia"/>
          <w:color w:val="000000" w:themeColor="text1"/>
          <w:lang w:val="en-US" w:eastAsia="zh-CN"/>
          <w14:textFill>
            <w14:solidFill>
              <w14:schemeClr w14:val="tx1"/>
            </w14:solidFill>
          </w14:textFill>
        </w:rPr>
        <w:t>超额收益分配原则</w:t>
      </w:r>
    </w:p>
    <w:p w14:paraId="0A8B9E9B">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合法性原则</w:t>
      </w:r>
    </w:p>
    <w:p w14:paraId="7AA6A1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遵守法规：确保超额收益分配方案符合当地法律法规要求，特别是关于税收、外汇管理等方面。</w:t>
      </w:r>
    </w:p>
    <w:p w14:paraId="352F0CE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税务规划：合理规划税务处理，确保超额收益的合法合规分配，避免潜在的法律风险。</w:t>
      </w:r>
    </w:p>
    <w:p w14:paraId="7CD872F0">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公平性原则</w:t>
      </w:r>
    </w:p>
    <w:p w14:paraId="49216DC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按贡献分配：超额收益应基于各方对项目成功的直接或间接贡</w:t>
      </w:r>
    </w:p>
    <w:p w14:paraId="22B43C92">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献进行分配，包括但不限于资金投入、技术支持、管理经验等。</w:t>
      </w:r>
    </w:p>
    <w:p w14:paraId="0B19D88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考虑风险承担：参与方所承担的风险大小也是分配超额收益时的重要考量因素，以激励风险管理和创新。</w:t>
      </w:r>
    </w:p>
    <w:p w14:paraId="1DCD7519">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透明性原则</w:t>
      </w:r>
    </w:p>
    <w:p w14:paraId="14AAAEE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明确规则：制定清晰、具体的超额收益分配机制，并在合同中明确规定，确保所有参与方都能理解并接受。</w:t>
      </w:r>
    </w:p>
    <w:p w14:paraId="6ACF582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定期审计：通过独立的财务审计来验证收益计算的准确性和分配的公正性，增强信任。</w:t>
      </w:r>
    </w:p>
    <w:p w14:paraId="541D0A2A">
      <w:pPr>
        <w:pStyle w:val="6"/>
        <w:numPr>
          <w:ilvl w:val="3"/>
          <w:numId w:val="64"/>
        </w:numPr>
        <w:spacing w:before="156" w:after="156"/>
        <w:rPr>
          <w:color w:val="000000" w:themeColor="text1"/>
          <w14:textFill>
            <w14:solidFill>
              <w14:schemeClr w14:val="tx1"/>
            </w14:solidFill>
          </w14:textFill>
        </w:rPr>
      </w:pPr>
      <w:r>
        <w:rPr>
          <w:color w:val="000000" w:themeColor="text1"/>
          <w14:textFill>
            <w14:solidFill>
              <w14:schemeClr w14:val="tx1"/>
            </w14:solidFill>
          </w14:textFill>
        </w:rPr>
        <w:t>履约担保</w:t>
      </w:r>
      <w:bookmarkEnd w:id="488"/>
    </w:p>
    <w:p w14:paraId="45B577E3">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履约担保的提交</w:t>
      </w:r>
    </w:p>
    <w:p w14:paraId="44A96EB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作为中标社会资本方和项目公司履行《</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》和《特许经营协议》的担保，项目公司应向实施机构提交履约保函。当中标社会资本方或项目公司未能完全履行《</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》或《特许经营协议》约定的义务时，实施机构可提取履约保函中的相应金额。</w:t>
      </w:r>
    </w:p>
    <w:p w14:paraId="6109C171">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履约保函的金额、形式及有效期限</w:t>
      </w:r>
    </w:p>
    <w:p w14:paraId="6DEB5BC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（1）建设期履约保函：建设期履约保函的金额为人民币</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000万元，本项目《特许经营协议》签订后一个月内，项目公司向实施机构提交。在《特许经营协议》约定的退还期限之前，项目公司应确保提交的保函</w:t>
      </w:r>
      <w:r>
        <w:rPr>
          <w:rFonts w:hint="eastAsia"/>
          <w:color w:val="000000" w:themeColor="text1"/>
          <w:lang w:val="en-US" w:eastAsia="zh-CN"/>
          <w14:textFill>
            <w14:solidFill>
              <w14:schemeClr w14:val="tx1"/>
            </w14:solidFill>
          </w14:textFill>
        </w:rPr>
        <w:t>在建设期内</w:t>
      </w:r>
      <w:r>
        <w:rPr>
          <w:rFonts w:hint="eastAsia"/>
          <w:color w:val="000000" w:themeColor="text1"/>
          <w14:textFill>
            <w14:solidFill>
              <w14:schemeClr w14:val="tx1"/>
            </w14:solidFill>
          </w14:textFill>
        </w:rPr>
        <w:t>持续有效。</w:t>
      </w:r>
    </w:p>
    <w:p w14:paraId="23C6FCFB">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（2）运营期履约保函：运营期履约保函的金额为人民币</w:t>
      </w:r>
      <w:r>
        <w:rPr>
          <w:rFonts w:hint="eastAsia"/>
          <w:color w:val="000000" w:themeColor="text1"/>
          <w:lang w:val="en-US" w:eastAsia="zh-CN"/>
          <w14:textFill>
            <w14:solidFill>
              <w14:schemeClr w14:val="tx1"/>
            </w14:solidFill>
          </w14:textFill>
        </w:rPr>
        <w:t>1000</w:t>
      </w:r>
      <w:r>
        <w:rPr>
          <w:rFonts w:hint="eastAsia"/>
          <w:color w:val="000000" w:themeColor="text1"/>
          <w14:textFill>
            <w14:solidFill>
              <w14:schemeClr w14:val="tx1"/>
            </w14:solidFill>
          </w14:textFill>
        </w:rPr>
        <w:t>万元，项目正式运营开始前一个月内由项目公司向实施机构提交。在《特许经营协议》约定的退还期限之前，项目公司应确保提交的保函</w:t>
      </w:r>
      <w:r>
        <w:rPr>
          <w:rFonts w:hint="eastAsia"/>
          <w:color w:val="000000" w:themeColor="text1"/>
          <w:lang w:val="en-US" w:eastAsia="zh-CN"/>
          <w14:textFill>
            <w14:solidFill>
              <w14:schemeClr w14:val="tx1"/>
            </w14:solidFill>
          </w14:textFill>
        </w:rPr>
        <w:t>在运营期内</w:t>
      </w:r>
      <w:r>
        <w:rPr>
          <w:rFonts w:hint="eastAsia"/>
          <w:color w:val="000000" w:themeColor="text1"/>
          <w14:textFill>
            <w14:solidFill>
              <w14:schemeClr w14:val="tx1"/>
            </w14:solidFill>
          </w14:textFill>
        </w:rPr>
        <w:t>持续有效。</w:t>
      </w:r>
    </w:p>
    <w:p w14:paraId="0AB259A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（3）移交履约保函：移交履约保函的金额为人民币</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万元，项目公司应在项目移交前一个月内提交，保证期限自移交之日起，至项目完成移交后，在签订移交备忘录之日起六个月。主要用于项目在移交前恢复性维养、主要设施设备移交标准、全套项目文档及知识产权移交、人员培训、项目设施存在隐蔽性缺陷、经证明由于项目公司在特许经营期内对设施的运营不善所造成的瑕疵等的担保。在协议约定的退还期限之前，项目公司应确保提交的保函持续有效。</w:t>
      </w:r>
    </w:p>
    <w:p w14:paraId="79E19DEC">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（4）本项目要求的履约保函均应当为实施机构认可的、商业银行或保险公司出具的不可撤销、见索即付保函。</w:t>
      </w:r>
    </w:p>
    <w:p w14:paraId="2632400F">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履约保函的提取</w:t>
      </w:r>
    </w:p>
    <w:p w14:paraId="08D2BAB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（1）如果发生《</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》或《特许经营协议》约定的中标社会资本方或项目公司未全部或部分履行其在《</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》或《特许经营协议》项下的义务，且在实施机构要求的期限内未予补正，或未按《</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》或《特许经营协议》约定承担违约责任，实施机构有权提取履约保函的相应金额。其中：</w:t>
      </w:r>
    </w:p>
    <w:p w14:paraId="65192691">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（a）项目公司成立后</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个工作日内，无正当理由未与实施机构签订《特许经营协议》，经实施机构书面催告后</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5个工作日内仍拒不签订协议的，实施机构有权提取建设期保函或运营期保函的全部金额。</w:t>
      </w:r>
    </w:p>
    <w:p w14:paraId="0578E3E6">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（b）中标社会资本方或项目公司无正当理由未向实施机构按期支付根据《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》或《特许经营协议》约定到期应付的无争议的违约赔偿和违约金，延迟日超过1个月的，实施机构有权从履约保函中提取相应金额的违约金。</w:t>
      </w:r>
    </w:p>
    <w:p w14:paraId="292B4A7D">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》和《特许经营协议》约定的其他情形。</w:t>
      </w:r>
    </w:p>
    <w:p w14:paraId="283255A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（2）实施机构在根据本条款提取相应的履约保函中的相应金额之前，应向项目公司发出书面通知，并告知对方其提取的理由和拟提取的金额。</w:t>
      </w:r>
    </w:p>
    <w:p w14:paraId="6C8D9E30">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（3）实施机构行使兑取履约保函的权利不损害实施机构在《</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》和《特许经营协议》项下的其他权利，并且不免除、不减轻中标社会资本方和项目公司履行《</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》和《特许经营协议》项下的义务及责任。当可兑取的履约保函不足以覆盖实施机构的损失时，实施机构可继续向中标社会资本方或项目公司主张赔偿责任。</w:t>
      </w:r>
    </w:p>
    <w:p w14:paraId="1E7486C7">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项目公司未按照规定在每份保函到期日至少30日之前，向实施机构提交用以接替的下一份履约保函，经实施机构书面催告后15个工作日内仍拒不提交的，实施机构有权要求项目公司承担1万元/天违约金，超过90天的仍未提交，实施机构有权终止《</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》及《特许经营协议》。</w:t>
      </w:r>
    </w:p>
    <w:p w14:paraId="6E0E698F">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恢复履约保函数额</w:t>
      </w:r>
    </w:p>
    <w:p w14:paraId="156040C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如果实施机构根据《</w:t>
      </w:r>
      <w:r>
        <w:rPr>
          <w:rFonts w:hint="eastAsia"/>
          <w:color w:val="000000" w:themeColor="text1"/>
          <w:lang w:eastAsia="zh-CN"/>
          <w14:textFill>
            <w14:solidFill>
              <w14:schemeClr w14:val="tx1"/>
            </w14:solidFill>
          </w14:textFill>
        </w:rPr>
        <w:t>初步协议</w:t>
      </w:r>
      <w:r>
        <w:rPr>
          <w:rFonts w:hint="eastAsia"/>
          <w:color w:val="000000" w:themeColor="text1"/>
          <w14:textFill>
            <w14:solidFill>
              <w14:schemeClr w14:val="tx1"/>
            </w14:solidFill>
          </w14:textFill>
        </w:rPr>
        <w:t>》或《特许经营协议》的有关约定提取履约保函项下的款项，项目公司应确保在实施机构提取后的30日内，将其提交的履约保函数额恢复到协议前款约定的数额，且应向实施机构提供履约保证金已足额恢复的证据。实施机构提取履约保证金的权利不影响实施机构在协议项下的其他权利，并且不应解除中标社会资本方不履行维护本项目义务而对实施机构所负的任何进一步的责任和义务。</w:t>
      </w:r>
    </w:p>
    <w:p w14:paraId="5279C595">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项目公司未在前述期限内补足或恢复履约保证金相应金额的，实施机构有权发出催告，项目公司应在30日内予以补足；若项目公司在限期内未补足履约保函金额，则实施机构有权</w:t>
      </w:r>
      <w:r>
        <w:rPr>
          <w:rFonts w:hint="eastAsia"/>
          <w:color w:val="000000" w:themeColor="text1"/>
          <w:lang w:val="en-US" w:eastAsia="zh-CN"/>
          <w14:textFill>
            <w14:solidFill>
              <w14:schemeClr w14:val="tx1"/>
            </w14:solidFill>
          </w14:textFill>
        </w:rPr>
        <w:t>自催告之日起</w:t>
      </w:r>
      <w:r>
        <w:rPr>
          <w:rFonts w:hint="eastAsia"/>
          <w:color w:val="000000" w:themeColor="text1"/>
          <w14:textFill>
            <w14:solidFill>
              <w14:schemeClr w14:val="tx1"/>
            </w14:solidFill>
          </w14:textFill>
        </w:rPr>
        <w:t>按照未补足的履约保函金额的万分之一/日收取违约金，并有权继续从履约保函中提取相应金额。</w:t>
      </w:r>
    </w:p>
    <w:p w14:paraId="6A12BCEE">
      <w:pPr>
        <w:pStyle w:val="7"/>
        <w:ind w:firstLine="562"/>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履约保函的退还</w:t>
      </w:r>
    </w:p>
    <w:p w14:paraId="3830DDF3">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（1）建设期履约保函：在本项目正式验收通过且实施机构收到本项目运营期履约保函之日起，实施机构应在五（5）个工作日内向项目公司退还建设期履约保函（如有违约情形，则为提取违约金后的余额）。</w:t>
      </w:r>
    </w:p>
    <w:p w14:paraId="22695EBF">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（2）运营期履约保函：本项目特许经营期满或者项目特许经营权提前终止后，实施机构将运营期履约保函退还给项目公司（如有违约情形，则为提取违约金后的余额）。</w:t>
      </w:r>
    </w:p>
    <w:p w14:paraId="36DBE968">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（3）移交期履约保函：在项目完成移交后，在签订移交备忘录之日起六个月（移交履约保函保证期满）后的十五日内将移交履约保函无息退还项目公司（如有违约情形，则为提取违约金后的余额）。</w:t>
      </w:r>
    </w:p>
    <w:p w14:paraId="0AB3DD5D">
      <w:pPr>
        <w:pStyle w:val="2"/>
      </w:pPr>
    </w:p>
    <w:p w14:paraId="38F1446B">
      <w:pPr>
        <w:pStyle w:val="6"/>
        <w:numPr>
          <w:ilvl w:val="3"/>
          <w:numId w:val="64"/>
        </w:numPr>
        <w:spacing w:before="156" w:after="156"/>
        <w:rPr>
          <w:color w:val="000000" w:themeColor="text1"/>
          <w14:textFill>
            <w14:solidFill>
              <w14:schemeClr w14:val="tx1"/>
            </w14:solidFill>
          </w14:textFill>
        </w:rPr>
      </w:pPr>
      <w:bookmarkStart w:id="489" w:name="_Toc23250"/>
      <w:r>
        <w:rPr>
          <w:rFonts w:hint="eastAsia"/>
          <w:color w:val="000000" w:themeColor="text1"/>
          <w14:textFill>
            <w14:solidFill>
              <w14:schemeClr w14:val="tx1"/>
            </w14:solidFill>
          </w14:textFill>
        </w:rPr>
        <w:t>违约责任</w:t>
      </w:r>
      <w:bookmarkEnd w:id="489"/>
    </w:p>
    <w:p w14:paraId="1ADA9DE8">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任何一方不履行或不完全履行特许经营协议约定的任何一项义务，即构成违约。若一方证明其未履行义务是由于不可抗力事件造成的，则不构成该方违约。</w:t>
      </w:r>
    </w:p>
    <w:p w14:paraId="4FE88960">
      <w:pPr>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在违约方违约的情形下，特许经营协议的另一方可行使下列权利：</w:t>
      </w:r>
    </w:p>
    <w:p w14:paraId="26EAF547">
      <w:pPr>
        <w:numPr>
          <w:ilvl w:val="0"/>
          <w:numId w:val="8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责令违约方在指定期限内改正；</w:t>
      </w:r>
    </w:p>
    <w:p w14:paraId="1ED0709F">
      <w:pPr>
        <w:numPr>
          <w:ilvl w:val="0"/>
          <w:numId w:val="8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要求违约方按特许经营协议相关约定支付违约金；</w:t>
      </w:r>
    </w:p>
    <w:p w14:paraId="3D7D56B5">
      <w:pPr>
        <w:numPr>
          <w:ilvl w:val="0"/>
          <w:numId w:val="8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若违约金不足以弥补损失的，要求违约方继续赔偿损失；</w:t>
      </w:r>
    </w:p>
    <w:p w14:paraId="0C743A85">
      <w:pPr>
        <w:numPr>
          <w:ilvl w:val="0"/>
          <w:numId w:val="88"/>
        </w:numPr>
        <w:ind w:left="0"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有权依照特许经营协议约定行使“解除协议”或“要求违约方承担责任并继续履行特许经营协议”等有关权利；</w:t>
      </w:r>
    </w:p>
    <w:p w14:paraId="29418CF5">
      <w:pPr>
        <w:pStyle w:val="6"/>
        <w:numPr>
          <w:ilvl w:val="3"/>
          <w:numId w:val="64"/>
        </w:numPr>
        <w:spacing w:before="156" w:after="156"/>
        <w:rPr>
          <w:color w:val="000000" w:themeColor="text1"/>
          <w14:textFill>
            <w14:solidFill>
              <w14:schemeClr w14:val="tx1"/>
            </w14:solidFill>
          </w14:textFill>
        </w:rPr>
      </w:pPr>
      <w:bookmarkStart w:id="490" w:name="_Toc30287"/>
      <w:r>
        <w:rPr>
          <w:rFonts w:hint="eastAsia"/>
          <w:color w:val="000000" w:themeColor="text1"/>
          <w14:textFill>
            <w14:solidFill>
              <w14:schemeClr w14:val="tx1"/>
            </w14:solidFill>
          </w14:textFill>
        </w:rPr>
        <w:t>争议解决</w:t>
      </w:r>
      <w:bookmarkEnd w:id="490"/>
    </w:p>
    <w:p w14:paraId="362407BE">
      <w:pPr>
        <w:ind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特许经营期内，合作双方就合作或/和合同执行过程中所产生的争议应首先争取通过友好协商在保密和不损害各方原有权利义务的基础上解决该争议。若无法解决该争议，则任何一方</w:t>
      </w:r>
      <w:r>
        <w:rPr>
          <w:rFonts w:hint="eastAsia"/>
          <w:color w:val="000000" w:themeColor="text1"/>
          <w:lang w:val="en-US" w:eastAsia="zh-CN"/>
          <w14:textFill>
            <w14:solidFill>
              <w14:schemeClr w14:val="tx1"/>
            </w14:solidFill>
          </w14:textFill>
        </w:rPr>
        <w:t>可根据届时的法律约定仲裁条款通过仲裁方式解决争议，选择仲裁作为争议解决方式的，不得再将争议通过诉讼解决。</w:t>
      </w:r>
    </w:p>
    <w:p w14:paraId="52C9497A">
      <w:pPr>
        <w:ind w:firstLine="560" w:firstLineChars="200"/>
        <w:rPr>
          <w:color w:val="000000" w:themeColor="text1"/>
          <w14:textFill>
            <w14:solidFill>
              <w14:schemeClr w14:val="tx1"/>
            </w14:solidFill>
          </w14:textFill>
        </w:rPr>
      </w:pPr>
    </w:p>
    <w:p w14:paraId="0F14A930">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26AB3E14">
      <w:pPr>
        <w:pStyle w:val="3"/>
        <w:numPr>
          <w:ilvl w:val="0"/>
          <w:numId w:val="0"/>
        </w:numPr>
        <w:outlineLvl w:val="1"/>
        <w:rPr>
          <w:color w:val="000000" w:themeColor="text1"/>
          <w14:textFill>
            <w14:solidFill>
              <w14:schemeClr w14:val="tx1"/>
            </w14:solidFill>
          </w14:textFill>
        </w:rPr>
      </w:pPr>
      <w:bookmarkStart w:id="491" w:name="_Toc21589"/>
      <w:bookmarkStart w:id="492" w:name="_Toc20634"/>
      <w:r>
        <w:rPr>
          <w:rFonts w:hint="eastAsia"/>
          <w:color w:val="000000" w:themeColor="text1"/>
          <w14:textFill>
            <w14:solidFill>
              <w14:schemeClr w14:val="tx1"/>
            </w14:solidFill>
          </w14:textFill>
        </w:rPr>
        <w:t>第五部分</w:t>
      </w:r>
      <w:r>
        <w:rPr>
          <w:color w:val="000000" w:themeColor="text1"/>
          <w14:textFill>
            <w14:solidFill>
              <w14:schemeClr w14:val="tx1"/>
            </w14:solidFill>
          </w14:textFill>
        </w:rPr>
        <w:t>结论和建议</w:t>
      </w:r>
      <w:bookmarkEnd w:id="491"/>
      <w:bookmarkEnd w:id="492"/>
    </w:p>
    <w:p w14:paraId="12793C1E">
      <w:pPr>
        <w:pStyle w:val="5"/>
        <w:numPr>
          <w:ilvl w:val="2"/>
          <w:numId w:val="89"/>
        </w:numPr>
        <w:rPr>
          <w:color w:val="000000" w:themeColor="text1"/>
          <w14:textFill>
            <w14:solidFill>
              <w14:schemeClr w14:val="tx1"/>
            </w14:solidFill>
          </w14:textFill>
        </w:rPr>
      </w:pPr>
      <w:bookmarkStart w:id="493" w:name="_Toc8380"/>
      <w:bookmarkStart w:id="494" w:name="_Toc72"/>
      <w:r>
        <w:rPr>
          <w:color w:val="000000" w:themeColor="text1"/>
          <w14:textFill>
            <w14:solidFill>
              <w14:schemeClr w14:val="tx1"/>
            </w14:solidFill>
          </w14:textFill>
        </w:rPr>
        <w:t>主要研究结论</w:t>
      </w:r>
      <w:bookmarkEnd w:id="493"/>
      <w:bookmarkEnd w:id="494"/>
    </w:p>
    <w:p w14:paraId="5003FCE0">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本项目符合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附件《支持民营企业参与的特许经营新建（含改扩建）项目清单（2023年版）》中</w:t>
      </w:r>
      <w:r>
        <w:rPr>
          <w:rFonts w:hint="eastAsia"/>
          <w:color w:val="000000" w:themeColor="text1"/>
          <w14:textFill>
            <w14:solidFill>
              <w14:schemeClr w14:val="tx1"/>
            </w14:solidFill>
          </w14:textFill>
        </w:rPr>
        <w:t>环保</w:t>
      </w:r>
      <w:r>
        <w:rPr>
          <w:color w:val="000000" w:themeColor="text1"/>
          <w14:textFill>
            <w14:solidFill>
              <w14:schemeClr w14:val="tx1"/>
            </w14:solidFill>
          </w14:textFill>
        </w:rPr>
        <w:t>领域要求，符合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聚焦使用者付费项目的要求，</w:t>
      </w:r>
      <w:r>
        <w:rPr>
          <w:rFonts w:hint="eastAsia"/>
          <w:color w:val="000000" w:themeColor="text1"/>
          <w:lang w:val="en-US" w:eastAsia="zh-CN"/>
          <w14:textFill>
            <w14:solidFill>
              <w14:schemeClr w14:val="tx1"/>
            </w14:solidFill>
          </w14:textFill>
        </w:rPr>
        <w:t>符合《国家发展改革委办公厅关于进一步做好政府和社会资本合作新机制项目规范实施工作的通知》（发改办投资〔2024〕1013号）严格聚焦使用者付费项目的要求，</w:t>
      </w:r>
      <w:r>
        <w:rPr>
          <w:color w:val="000000" w:themeColor="text1"/>
          <w14:textFill>
            <w14:solidFill>
              <w14:schemeClr w14:val="tx1"/>
            </w14:solidFill>
          </w14:textFill>
        </w:rPr>
        <w:t>具有合法合规的收费渠道和方式，且经</w:t>
      </w:r>
      <w:r>
        <w:rPr>
          <w:rFonts w:hint="eastAsia"/>
          <w:color w:val="000000" w:themeColor="text1"/>
          <w14:textFill>
            <w14:solidFill>
              <w14:schemeClr w14:val="tx1"/>
            </w14:solidFill>
          </w14:textFill>
        </w:rPr>
        <w:t>初步</w:t>
      </w:r>
      <w:r>
        <w:rPr>
          <w:color w:val="000000" w:themeColor="text1"/>
          <w14:textFill>
            <w14:solidFill>
              <w14:schemeClr w14:val="tx1"/>
            </w14:solidFill>
          </w14:textFill>
        </w:rPr>
        <w:t>测算分析，本项目收益水平符合市场平均投资水平。综上，本项目采用特许经营模式具备可行性。</w:t>
      </w:r>
    </w:p>
    <w:p w14:paraId="4408FD22">
      <w:pPr>
        <w:pStyle w:val="5"/>
        <w:numPr>
          <w:ilvl w:val="2"/>
          <w:numId w:val="89"/>
        </w:numPr>
        <w:rPr>
          <w:color w:val="000000" w:themeColor="text1"/>
          <w14:textFill>
            <w14:solidFill>
              <w14:schemeClr w14:val="tx1"/>
            </w14:solidFill>
          </w14:textFill>
        </w:rPr>
      </w:pPr>
      <w:bookmarkStart w:id="495" w:name="_Toc24655"/>
      <w:bookmarkStart w:id="496" w:name="_Toc18082"/>
      <w:r>
        <w:rPr>
          <w:color w:val="000000" w:themeColor="text1"/>
          <w14:textFill>
            <w14:solidFill>
              <w14:schemeClr w14:val="tx1"/>
            </w14:solidFill>
          </w14:textFill>
        </w:rPr>
        <w:t>问题与建议</w:t>
      </w:r>
      <w:bookmarkEnd w:id="495"/>
      <w:bookmarkEnd w:id="496"/>
    </w:p>
    <w:p w14:paraId="6C25EF6B">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建议就项目特许经营期限等内容加强与国家、</w:t>
      </w:r>
      <w:r>
        <w:rPr>
          <w:rFonts w:hint="eastAsia"/>
          <w:color w:val="000000" w:themeColor="text1"/>
          <w14:textFill>
            <w14:solidFill>
              <w14:schemeClr w14:val="tx1"/>
            </w14:solidFill>
          </w14:textFill>
        </w:rPr>
        <w:t>地方</w:t>
      </w:r>
      <w:r>
        <w:rPr>
          <w:color w:val="000000" w:themeColor="text1"/>
          <w14:textFill>
            <w14:solidFill>
              <w14:schemeClr w14:val="tx1"/>
            </w14:solidFill>
          </w14:textFill>
        </w:rPr>
        <w:t>发改委沟通衔接，确保项目相关边界条件符合</w:t>
      </w:r>
      <w:r>
        <w:rPr>
          <w:rFonts w:hint="eastAsia"/>
          <w:color w:val="000000" w:themeColor="text1"/>
          <w14:textFill>
            <w14:solidFill>
              <w14:schemeClr w14:val="tx1"/>
            </w14:solidFill>
          </w14:textFill>
        </w:rPr>
        <w:t>《关于规范实施政府和社会资本合作新机制的指导意见》（国办函〔2023〕115号）</w:t>
      </w:r>
      <w:r>
        <w:rPr>
          <w:color w:val="000000" w:themeColor="text1"/>
          <w14:textFill>
            <w14:solidFill>
              <w14:schemeClr w14:val="tx1"/>
            </w14:solidFill>
          </w14:textFill>
        </w:rPr>
        <w:t>的相关要求。</w:t>
      </w:r>
    </w:p>
    <w:p w14:paraId="065EC7B2">
      <w:pPr>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建议做好项目市场测试，确保项目在充分竞争的情况下顺利实施。</w:t>
      </w:r>
    </w:p>
    <w:p w14:paraId="657B1955">
      <w:pPr>
        <w:rPr>
          <w:color w:val="000000" w:themeColor="text1"/>
          <w14:textFill>
            <w14:solidFill>
              <w14:schemeClr w14:val="tx1"/>
            </w14:solidFill>
          </w14:textFill>
        </w:rPr>
        <w:sectPr>
          <w:pgSz w:w="11906" w:h="16838"/>
          <w:pgMar w:top="1440" w:right="1800" w:bottom="1440" w:left="1800" w:header="851" w:footer="992" w:gutter="0"/>
          <w:cols w:space="425" w:num="1"/>
          <w:titlePg/>
          <w:docGrid w:type="lines" w:linePitch="312" w:charSpace="0"/>
        </w:sectPr>
      </w:pPr>
      <w:r>
        <w:rPr>
          <w:color w:val="000000" w:themeColor="text1"/>
          <w14:textFill>
            <w14:solidFill>
              <w14:schemeClr w14:val="tx1"/>
            </w14:solidFill>
          </w14:textFill>
        </w:rPr>
        <w:br w:type="page"/>
      </w:r>
    </w:p>
    <w:p w14:paraId="4528BC67">
      <w:pPr>
        <w:pStyle w:val="5"/>
        <w:keepNext/>
        <w:keepLines/>
        <w:pageBreakBefore w:val="0"/>
        <w:widowControl w:val="0"/>
        <w:kinsoku/>
        <w:wordWrap/>
        <w:overflowPunct/>
        <w:topLinePunct w:val="0"/>
        <w:autoSpaceDE/>
        <w:autoSpaceDN/>
        <w:bidi w:val="0"/>
        <w:spacing w:before="0" w:after="0" w:line="240" w:lineRule="auto"/>
        <w:ind w:left="0" w:firstLine="0"/>
        <w:textAlignment w:val="auto"/>
        <w:rPr>
          <w:color w:val="000000" w:themeColor="text1"/>
          <w14:textFill>
            <w14:solidFill>
              <w14:schemeClr w14:val="tx1"/>
            </w14:solidFill>
          </w14:textFill>
        </w:rPr>
      </w:pPr>
      <w:bookmarkStart w:id="497" w:name="_Toc27314"/>
      <w:bookmarkStart w:id="498" w:name="_Toc8917"/>
      <w:r>
        <w:rPr>
          <w:rFonts w:hint="eastAsia"/>
          <w:color w:val="000000" w:themeColor="text1"/>
          <w14:textFill>
            <w14:solidFill>
              <w14:schemeClr w14:val="tx1"/>
            </w14:solidFill>
          </w14:textFill>
        </w:rPr>
        <w:t>附表、附图和附件</w:t>
      </w:r>
      <w:bookmarkEnd w:id="497"/>
      <w:bookmarkEnd w:id="498"/>
    </w:p>
    <w:p w14:paraId="46D092DC">
      <w:pPr>
        <w:pStyle w:val="6"/>
        <w:keepNext/>
        <w:keepLines/>
        <w:pageBreakBefore w:val="0"/>
        <w:widowControl w:val="0"/>
        <w:kinsoku/>
        <w:wordWrap/>
        <w:overflowPunct/>
        <w:topLinePunct w:val="0"/>
        <w:autoSpaceDE/>
        <w:autoSpaceDN/>
        <w:bidi w:val="0"/>
        <w:spacing w:before="0" w:beforeLines="0" w:after="0" w:afterLines="0" w:line="240" w:lineRule="auto"/>
        <w:ind w:left="0" w:firstLine="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附表</w:t>
      </w:r>
    </w:p>
    <w:p w14:paraId="4A9EDAC9">
      <w:pPr>
        <w:pStyle w:val="7"/>
        <w:keepNext/>
        <w:keepLines/>
        <w:pageBreakBefore w:val="0"/>
        <w:widowControl w:val="0"/>
        <w:numPr>
          <w:ilvl w:val="0"/>
          <w:numId w:val="90"/>
        </w:numPr>
        <w:kinsoku/>
        <w:wordWrap/>
        <w:overflowPunct/>
        <w:topLinePunct w:val="0"/>
        <w:autoSpaceDE/>
        <w:autoSpaceDN/>
        <w:bidi w:val="0"/>
        <w:spacing w:line="240" w:lineRule="auto"/>
        <w:ind w:left="0" w:leftChars="0" w:firstLine="0" w:firstLineChars="0"/>
        <w:textAlignment w:val="auto"/>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总成本表</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793"/>
        <w:gridCol w:w="1312"/>
        <w:gridCol w:w="1234"/>
        <w:gridCol w:w="1072"/>
        <w:gridCol w:w="1072"/>
        <w:gridCol w:w="1072"/>
        <w:gridCol w:w="1072"/>
        <w:gridCol w:w="1072"/>
        <w:gridCol w:w="1072"/>
        <w:gridCol w:w="1072"/>
        <w:gridCol w:w="1073"/>
        <w:gridCol w:w="1073"/>
      </w:tblGrid>
      <w:tr w14:paraId="2D1D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8" w:type="pct"/>
            <w:vMerge w:val="restart"/>
            <w:tcBorders>
              <w:top w:val="single" w:color="000000" w:sz="8" w:space="0"/>
              <w:left w:val="nil"/>
              <w:bottom w:val="single" w:color="000000" w:sz="4" w:space="0"/>
              <w:right w:val="single" w:color="000000" w:sz="4" w:space="0"/>
            </w:tcBorders>
            <w:shd w:val="clear" w:color="auto" w:fill="D9D9D9"/>
            <w:noWrap/>
            <w:vAlign w:val="center"/>
          </w:tcPr>
          <w:p w14:paraId="35C57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序号</w:t>
            </w:r>
          </w:p>
        </w:tc>
        <w:tc>
          <w:tcPr>
            <w:tcW w:w="868"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BDB1C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w:t>
            </w:r>
          </w:p>
        </w:tc>
        <w:tc>
          <w:tcPr>
            <w:tcW w:w="426"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30316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401"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60ED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60D7C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609AB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775B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2E39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7D20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615B1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6B60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EDAEB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DADA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3DFC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vMerge w:val="continue"/>
            <w:tcBorders>
              <w:top w:val="single" w:color="000000" w:sz="8" w:space="0"/>
              <w:left w:val="nil"/>
              <w:bottom w:val="single" w:color="000000" w:sz="4" w:space="0"/>
              <w:right w:val="single" w:color="000000" w:sz="4" w:space="0"/>
            </w:tcBorders>
            <w:shd w:val="clear" w:color="auto" w:fill="D9D9D9"/>
            <w:noWrap/>
            <w:vAlign w:val="center"/>
          </w:tcPr>
          <w:p w14:paraId="166A4A1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868"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EDBE6CC">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426"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34CB7F4">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F90D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9E333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DB80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7822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4E6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7335F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CAF53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02AF5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FE46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1B7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r>
      <w:tr w14:paraId="7028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0414DF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993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外购原材料费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6B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26,227</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460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556.55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5F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626.11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5F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1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6F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94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8B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BB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E5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30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r>
      <w:tr w14:paraId="39E44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1D18C9A5">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CC18">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8C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3,409</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E9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72.35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06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81.39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FB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73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43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E8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CE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E8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10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61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r>
      <w:tr w14:paraId="58D3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14522F7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BA7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外购燃料及动力费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64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6,691</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631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141.98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63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159.72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BF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C73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35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292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F9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48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FD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4C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r>
      <w:tr w14:paraId="656DD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4176BE14">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1F48">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13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870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AB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18.46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25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5D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1D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2E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1B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20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26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23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32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r>
      <w:tr w14:paraId="0789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7ED60D5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6D6CF">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其他制造费用（渗滤液+工业水+飞灰运输+飞灰处置）</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A7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44,885</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2C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952.46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523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1,071.52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15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CEA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68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0B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9DA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92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93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A3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r>
      <w:tr w14:paraId="3163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15424CD2">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5F12">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C4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5,835</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FE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123.82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FC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139.30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72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73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92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4FF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AD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A1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06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AB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r>
      <w:tr w14:paraId="1B3E3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2CA57FC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E8E5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工资及福利费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1C3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23,653</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71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E1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89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60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34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FA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BF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3F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3A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A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r>
      <w:tr w14:paraId="2E14B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704D597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824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修理费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6C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36,090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94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6F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61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D8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F6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7D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AF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7F4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75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BB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r>
      <w:tr w14:paraId="3412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2D07AACB">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79D5">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7C2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2,165</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B4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434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53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39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2A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08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8B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48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80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89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r>
      <w:tr w14:paraId="7966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310ACBE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4E4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环境检测费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8C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570</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39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F0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51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16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C8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DC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E8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22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81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41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r>
      <w:tr w14:paraId="6395F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219BA924">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5205">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18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F1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C8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37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849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ECE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CA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ED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3C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FD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97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r>
      <w:tr w14:paraId="28F75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769BB32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F32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其他管理费用</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46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15,309</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20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324.86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EA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365.46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BC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C5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18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74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46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04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E3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42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r>
      <w:tr w14:paraId="1567A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0D12C297">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57BA">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03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919</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50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19.49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6A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21.93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CA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E8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0D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6C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BC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37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53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4A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r>
      <w:tr w14:paraId="4C29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5377F55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7BE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经营成本（1+2+3+4+5+6+7）</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7D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153,424</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7A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3,563.01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B4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3,809.99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9B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30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17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8E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EB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18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A7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C1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r>
      <w:tr w14:paraId="69DAA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49CF6FB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3A14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折旧费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76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93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D5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88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EC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95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A8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42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28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5E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45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r>
      <w:tr w14:paraId="4B966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433463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CA2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摊销费</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D9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45,232</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CF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CD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36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D6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8A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0A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F5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C4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33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31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r>
      <w:tr w14:paraId="3E32C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62550C1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E74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利息支出</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81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25,983</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0C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1,435.45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6B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1,408.10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B7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1,379.76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2C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1,350.41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02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1,319.99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62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1,288.49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30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1,255.84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A2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1,222.02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F3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1,186.99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68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1,150.69</w:t>
            </w:r>
          </w:p>
        </w:tc>
      </w:tr>
      <w:tr w14:paraId="5F7CC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3741AD1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317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总成本费用合计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8E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224,639</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33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6,188.77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29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6,408.40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51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6,627.04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75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6,597.69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31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6,567.27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D1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6,535.77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9B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6,503.12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2F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6,469.30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55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6,434.27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B2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6,397.97</w:t>
            </w:r>
          </w:p>
        </w:tc>
      </w:tr>
      <w:tr w14:paraId="19E7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7BA6FF40">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F1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其中:可变成本</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44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78,373</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23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1,665.99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E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1,872.36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4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2F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5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F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1D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B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B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3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r>
      <w:tr w14:paraId="432CF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4" w:space="0"/>
              <w:right w:val="single" w:color="000000" w:sz="4" w:space="0"/>
            </w:tcBorders>
            <w:shd w:val="clear" w:color="auto" w:fill="auto"/>
            <w:noWrap/>
            <w:vAlign w:val="center"/>
          </w:tcPr>
          <w:p w14:paraId="3F01662C">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998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固定成本</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A4F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146,266</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58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4,522.79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114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4,536.04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0C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4,548.31</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04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4,518.96</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4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4,488.54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2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4,457.03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E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4,424.39</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C6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4,390.57</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29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4,355.54</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D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4,319.24</w:t>
            </w:r>
          </w:p>
        </w:tc>
      </w:tr>
      <w:tr w14:paraId="2B621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8" w:type="pct"/>
            <w:tcBorders>
              <w:top w:val="single" w:color="000000" w:sz="4" w:space="0"/>
              <w:left w:val="nil"/>
              <w:bottom w:val="single" w:color="000000" w:sz="8" w:space="0"/>
              <w:right w:val="single" w:color="000000" w:sz="4" w:space="0"/>
            </w:tcBorders>
            <w:shd w:val="clear" w:color="auto" w:fill="auto"/>
            <w:noWrap/>
            <w:vAlign w:val="center"/>
          </w:tcPr>
          <w:p w14:paraId="5C6936E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86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9B3241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增值税进项税合计</w:t>
            </w:r>
          </w:p>
        </w:tc>
        <w:tc>
          <w:tcPr>
            <w:tcW w:w="42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EFEAF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13,232</w:t>
            </w:r>
          </w:p>
        </w:tc>
        <w:tc>
          <w:tcPr>
            <w:tcW w:w="40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E2C9A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292.00</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7CF11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321.27</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EDAC1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F74FD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7EC22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6208A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727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702E5D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1E6A3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5586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r>
    </w:tbl>
    <w:p w14:paraId="59DE669B">
      <w:pPr>
        <w:spacing w:line="240" w:lineRule="auto"/>
        <w:rPr>
          <w:rFonts w:hint="eastAsia" w:ascii="仿宋" w:hAnsi="仿宋" w:eastAsia="仿宋" w:cs="仿宋"/>
          <w:color w:val="000000" w:themeColor="text1"/>
          <w:sz w:val="20"/>
          <w:szCs w:val="20"/>
          <w14:textFill>
            <w14:solidFill>
              <w14:schemeClr w14:val="tx1"/>
            </w14:solidFill>
          </w14:textFill>
        </w:rPr>
      </w:pPr>
    </w:p>
    <w:p w14:paraId="549519FE">
      <w:pPr>
        <w:spacing w:line="240" w:lineRule="auto"/>
        <w:rPr>
          <w:rFonts w:hint="eastAsia" w:ascii="仿宋" w:hAnsi="仿宋" w:cs="仿宋"/>
          <w:color w:val="000000" w:themeColor="text1"/>
          <w14:textFill>
            <w14:solidFill>
              <w14:schemeClr w14:val="tx1"/>
            </w14:solidFill>
          </w14:textFill>
        </w:rPr>
      </w:pPr>
    </w:p>
    <w:p w14:paraId="1E6054B0">
      <w:pPr>
        <w:spacing w:line="240" w:lineRule="auto"/>
        <w:rPr>
          <w:rFonts w:hint="eastAsia" w:ascii="仿宋" w:hAnsi="仿宋" w:cs="仿宋"/>
          <w:color w:val="000000" w:themeColor="text1"/>
          <w14:textFill>
            <w14:solidFill>
              <w14:schemeClr w14:val="tx1"/>
            </w14:solidFill>
          </w14:textFill>
        </w:rPr>
      </w:pPr>
    </w:p>
    <w:p w14:paraId="33C7D0EF">
      <w:pPr>
        <w:spacing w:line="240" w:lineRule="auto"/>
        <w:rPr>
          <w:rFonts w:hint="eastAsia" w:ascii="仿宋" w:hAnsi="仿宋" w:cs="仿宋"/>
          <w:color w:val="000000" w:themeColor="text1"/>
          <w14:textFill>
            <w14:solidFill>
              <w14:schemeClr w14:val="tx1"/>
            </w14:solidFill>
          </w14:textFill>
        </w:rPr>
      </w:pPr>
    </w:p>
    <w:p w14:paraId="04A97CAE">
      <w:pPr>
        <w:spacing w:line="240" w:lineRule="auto"/>
        <w:rPr>
          <w:rFonts w:hint="eastAsia" w:ascii="仿宋" w:hAnsi="仿宋" w:cs="仿宋"/>
          <w:color w:val="000000" w:themeColor="text1"/>
          <w14:textFill>
            <w14:solidFill>
              <w14:schemeClr w14:val="tx1"/>
            </w14:solidFill>
          </w14:textFill>
        </w:rPr>
      </w:pPr>
    </w:p>
    <w:p w14:paraId="5500AFCE">
      <w:pPr>
        <w:spacing w:line="240" w:lineRule="auto"/>
        <w:rPr>
          <w:rFonts w:hint="eastAsia" w:ascii="仿宋" w:hAnsi="仿宋" w:cs="仿宋"/>
          <w:color w:val="000000" w:themeColor="text1"/>
          <w14:textFill>
            <w14:solidFill>
              <w14:schemeClr w14:val="tx1"/>
            </w14:solidFill>
          </w14:textFill>
        </w:rPr>
      </w:pPr>
    </w:p>
    <w:p w14:paraId="3A802DE8">
      <w:pPr>
        <w:spacing w:line="240" w:lineRule="auto"/>
        <w:rPr>
          <w:rFonts w:hint="eastAsia" w:ascii="仿宋" w:hAnsi="仿宋" w:cs="仿宋"/>
          <w:color w:val="000000" w:themeColor="text1"/>
          <w14:textFill>
            <w14:solidFill>
              <w14:schemeClr w14:val="tx1"/>
            </w14:solidFill>
          </w14:textFill>
        </w:rPr>
      </w:pPr>
    </w:p>
    <w:p w14:paraId="504B4190">
      <w:pPr>
        <w:spacing w:line="240" w:lineRule="auto"/>
        <w:rPr>
          <w:rFonts w:hint="eastAsia" w:ascii="仿宋" w:hAnsi="仿宋" w:cs="仿宋"/>
          <w:color w:val="000000" w:themeColor="text1"/>
          <w14:textFill>
            <w14:solidFill>
              <w14:schemeClr w14:val="tx1"/>
            </w14:solidFill>
          </w14:textFill>
        </w:rPr>
      </w:pP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5"/>
        <w:gridCol w:w="1115"/>
        <w:gridCol w:w="1115"/>
        <w:gridCol w:w="1115"/>
        <w:gridCol w:w="1115"/>
        <w:gridCol w:w="1115"/>
        <w:gridCol w:w="1115"/>
        <w:gridCol w:w="1115"/>
        <w:gridCol w:w="1115"/>
        <w:gridCol w:w="1115"/>
        <w:gridCol w:w="1115"/>
        <w:gridCol w:w="1115"/>
      </w:tblGrid>
      <w:tr w14:paraId="39209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F9107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B487A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98A6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FC7F2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1002F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2CCDC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442F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47978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8575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CB00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235C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C21A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FF7E7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3ABD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6B2BB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A1D3B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68889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92918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CD10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4C9B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8E7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39DB7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999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2453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770A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E2B07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912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16F3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ED8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w:t>
            </w:r>
          </w:p>
        </w:tc>
      </w:tr>
      <w:tr w14:paraId="7C54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EE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0AD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F3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5BC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EF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72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A5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8B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9C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6A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FE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38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3E9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DB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r>
      <w:tr w14:paraId="6D9F4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D8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ED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9B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02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10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55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88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73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00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79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1D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74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F26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C2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r>
      <w:tr w14:paraId="25C30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25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57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17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3CD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19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31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BD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67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24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B7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F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27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34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EA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r>
      <w:tr w14:paraId="36F62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2ED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44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19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19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9A7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1B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D1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C4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C9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00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27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08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F3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F7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r>
      <w:tr w14:paraId="10590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DC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62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DC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BE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7E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40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84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D2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E8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F9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29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00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18D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94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r>
      <w:tr w14:paraId="4C870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A4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C7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05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D2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F9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E7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CE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2F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81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55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89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81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17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2D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r>
      <w:tr w14:paraId="5741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5B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AD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2C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96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FC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63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13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F6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83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E9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D83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20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B2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3E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r>
      <w:tr w14:paraId="43DA4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2EB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78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62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EE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4C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47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86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89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A9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75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6F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12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EBC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8F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r>
      <w:tr w14:paraId="2D4B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4B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84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3D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F7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F4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CE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B5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97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70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32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53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77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44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D1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r>
      <w:tr w14:paraId="01524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A9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62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32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12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47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C0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A2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FD7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7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E8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98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3D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A0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82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r>
      <w:tr w14:paraId="5F98D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8D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99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B2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02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CD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4D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39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C3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DD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D7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7F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9B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69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B2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r>
      <w:tr w14:paraId="28FC8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71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CF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29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34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22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06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11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95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D4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E1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8E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F1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19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B60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r>
      <w:tr w14:paraId="3652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80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F7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C1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71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A5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48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4C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5B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BE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84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693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16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8A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30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r>
      <w:tr w14:paraId="5E6A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FC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C7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41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4A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D2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8D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B8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61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51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CE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EF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0E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10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4D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r>
      <w:tr w14:paraId="14D77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AE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51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D7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68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EF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2E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C2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2B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21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91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8C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DD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57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2A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r>
      <w:tr w14:paraId="512BD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46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15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1C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C1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FC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60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FE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54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F1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ED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61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B9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A9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35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r>
      <w:tr w14:paraId="55C7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4C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1,113.09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CD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1,074.13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68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1,033.77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559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991.96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89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948.64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DF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903.76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2C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857.27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E7A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809.10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38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759.20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AC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707.51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1E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653.95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05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598.46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FB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540.98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45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481.42</w:t>
            </w:r>
          </w:p>
        </w:tc>
      </w:tr>
      <w:tr w14:paraId="5682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B4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6,360.37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CB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6,321.41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E6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6,281.05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E8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6,239.24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D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6,195.92</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11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6,151.04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79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6,104.55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A2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6,056.38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E4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6,006.48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B3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5,954.79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C0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5,901.23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7B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5,845.74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50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5,788.26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71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5,728.70</w:t>
            </w:r>
          </w:p>
        </w:tc>
      </w:tr>
      <w:tr w14:paraId="123E0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33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A5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91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8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4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65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CA3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E1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A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9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2C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C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9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F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r>
      <w:tr w14:paraId="0174A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45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4,281.64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C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4,242.68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5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4,202.32</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9B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4,160.51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82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4,117.19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94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4,072.31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0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4,025.82</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74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3,977.65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B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3,927.75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84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3,876.05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D0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3,822.50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C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3,767.01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7E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3,709.53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9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3,649.97</w:t>
            </w:r>
          </w:p>
        </w:tc>
      </w:tr>
      <w:tr w14:paraId="033E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C290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745D0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153F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8843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C251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B230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4C74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4D3C4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938CE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8D6CF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96700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9E35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B876F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40336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r>
    </w:tbl>
    <w:p w14:paraId="00F1537D">
      <w:pPr>
        <w:spacing w:line="240" w:lineRule="auto"/>
        <w:rPr>
          <w:rFonts w:hint="eastAsia" w:ascii="仿宋" w:hAnsi="仿宋" w:cs="仿宋"/>
          <w:color w:val="000000" w:themeColor="text1"/>
          <w14:textFill>
            <w14:solidFill>
              <w14:schemeClr w14:val="tx1"/>
            </w14:solidFill>
          </w14:textFill>
        </w:rPr>
      </w:pPr>
    </w:p>
    <w:p w14:paraId="0C506D4F">
      <w:pPr>
        <w:pStyle w:val="2"/>
        <w:rPr>
          <w:rFonts w:hint="eastAsia" w:ascii="仿宋" w:hAnsi="仿宋" w:cs="仿宋"/>
          <w:color w:val="000000" w:themeColor="text1"/>
          <w14:textFill>
            <w14:solidFill>
              <w14:schemeClr w14:val="tx1"/>
            </w14:solidFill>
          </w14:textFill>
        </w:rPr>
      </w:pPr>
    </w:p>
    <w:p w14:paraId="1280AE24">
      <w:pPr>
        <w:rPr>
          <w:rFonts w:hint="eastAsia" w:ascii="仿宋" w:hAnsi="仿宋" w:cs="仿宋"/>
          <w:color w:val="000000" w:themeColor="text1"/>
          <w14:textFill>
            <w14:solidFill>
              <w14:schemeClr w14:val="tx1"/>
            </w14:solidFill>
          </w14:textFill>
        </w:rPr>
      </w:pPr>
    </w:p>
    <w:p w14:paraId="5CEDB29F">
      <w:pPr>
        <w:pStyle w:val="2"/>
        <w:rPr>
          <w:rFonts w:hint="eastAsia" w:ascii="仿宋" w:hAnsi="仿宋" w:cs="仿宋"/>
          <w:color w:val="000000" w:themeColor="text1"/>
          <w14:textFill>
            <w14:solidFill>
              <w14:schemeClr w14:val="tx1"/>
            </w14:solidFill>
          </w14:textFill>
        </w:rPr>
      </w:pPr>
    </w:p>
    <w:p w14:paraId="7A5F72DE">
      <w:pPr>
        <w:rPr>
          <w:rFonts w:hint="eastAsia" w:ascii="仿宋" w:hAnsi="仿宋" w:cs="仿宋"/>
          <w:color w:val="000000" w:themeColor="text1"/>
          <w14:textFill>
            <w14:solidFill>
              <w14:schemeClr w14:val="tx1"/>
            </w14:solidFill>
          </w14:textFill>
        </w:rPr>
      </w:pPr>
    </w:p>
    <w:p w14:paraId="113F8791">
      <w:pPr>
        <w:pStyle w:val="2"/>
        <w:rPr>
          <w:rFonts w:hint="eastAsia" w:ascii="仿宋" w:hAnsi="仿宋" w:cs="仿宋"/>
          <w:color w:val="000000" w:themeColor="text1"/>
          <w14:textFill>
            <w14:solidFill>
              <w14:schemeClr w14:val="tx1"/>
            </w14:solidFill>
          </w14:textFill>
        </w:rPr>
      </w:pPr>
    </w:p>
    <w:p w14:paraId="4E38CBAA">
      <w:pPr>
        <w:rPr>
          <w:rFonts w:hint="eastAsia" w:ascii="仿宋" w:hAnsi="仿宋" w:cs="仿宋"/>
          <w:color w:val="000000" w:themeColor="text1"/>
          <w14:textFill>
            <w14:solidFill>
              <w14:schemeClr w14:val="tx1"/>
            </w14:solidFill>
          </w14:textFill>
        </w:rPr>
      </w:pPr>
    </w:p>
    <w:p w14:paraId="201A68A6">
      <w:pPr>
        <w:pStyle w:val="2"/>
        <w:rPr>
          <w:rFonts w:hint="eastAsia" w:ascii="仿宋" w:hAnsi="仿宋" w:cs="仿宋"/>
          <w:color w:val="000000" w:themeColor="text1"/>
          <w14:textFill>
            <w14:solidFill>
              <w14:schemeClr w14:val="tx1"/>
            </w14:solidFill>
          </w14:textFill>
        </w:rPr>
      </w:pPr>
    </w:p>
    <w:p w14:paraId="5EA8E0BF">
      <w:pPr>
        <w:rPr>
          <w:rFonts w:hint="eastAsia" w:ascii="仿宋" w:hAnsi="仿宋" w:cs="仿宋"/>
          <w:color w:val="000000" w:themeColor="text1"/>
          <w14:textFill>
            <w14:solidFill>
              <w14:schemeClr w14:val="tx1"/>
            </w14:solidFill>
          </w14:textFill>
        </w:rPr>
      </w:pPr>
    </w:p>
    <w:p w14:paraId="76A800AD">
      <w:pPr>
        <w:pStyle w:val="2"/>
        <w:rPr>
          <w:rFonts w:hint="eastAsia" w:ascii="仿宋" w:hAnsi="仿宋" w:cs="仿宋"/>
          <w:color w:val="000000" w:themeColor="text1"/>
          <w14:textFill>
            <w14:solidFill>
              <w14:schemeClr w14:val="tx1"/>
            </w14:solidFill>
          </w14:textFill>
        </w:rPr>
      </w:pPr>
    </w:p>
    <w:p w14:paraId="222F239A">
      <w:pPr>
        <w:rPr>
          <w:rFonts w:hint="eastAsia" w:ascii="仿宋" w:hAnsi="仿宋" w:cs="仿宋"/>
          <w:color w:val="000000" w:themeColor="text1"/>
          <w14:textFill>
            <w14:solidFill>
              <w14:schemeClr w14:val="tx1"/>
            </w14:solidFill>
          </w14:textFill>
        </w:rPr>
      </w:pPr>
    </w:p>
    <w:p w14:paraId="2792E56F">
      <w:pPr>
        <w:pStyle w:val="2"/>
        <w:rPr>
          <w:rFonts w:hint="eastAsia" w:ascii="仿宋" w:hAnsi="仿宋" w:cs="仿宋"/>
          <w:color w:val="000000" w:themeColor="text1"/>
          <w14:textFill>
            <w14:solidFill>
              <w14:schemeClr w14:val="tx1"/>
            </w14:solidFill>
          </w14:textFill>
        </w:rPr>
      </w:pPr>
    </w:p>
    <w:p w14:paraId="3958C763">
      <w:pPr>
        <w:rPr>
          <w:rFonts w:hint="eastAsia" w:ascii="仿宋" w:hAnsi="仿宋" w:cs="仿宋"/>
          <w:color w:val="000000" w:themeColor="text1"/>
          <w14:textFill>
            <w14:solidFill>
              <w14:schemeClr w14:val="tx1"/>
            </w14:solidFill>
          </w14:textFill>
        </w:rPr>
      </w:pP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5"/>
        <w:gridCol w:w="1115"/>
        <w:gridCol w:w="1115"/>
        <w:gridCol w:w="1115"/>
        <w:gridCol w:w="1115"/>
        <w:gridCol w:w="1115"/>
        <w:gridCol w:w="1115"/>
        <w:gridCol w:w="1115"/>
        <w:gridCol w:w="1115"/>
        <w:gridCol w:w="1115"/>
        <w:gridCol w:w="1115"/>
        <w:gridCol w:w="1115"/>
      </w:tblGrid>
      <w:tr w14:paraId="01080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6FB43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ADE3F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0DC0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D119D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424E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C6D86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4C979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7B05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3B1C8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0F3FA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91E2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EB01D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FAE4A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BC02A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26D8C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378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8F93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26</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5F282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B94A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33F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A01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30</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77A9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393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E27D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33</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992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8FFFD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FBE62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B237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AD255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w:t>
            </w:r>
          </w:p>
        </w:tc>
      </w:tr>
      <w:tr w14:paraId="7877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6C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82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C6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C6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747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FC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F7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5D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04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6C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96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55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2C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6F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695.68</w:t>
            </w:r>
          </w:p>
        </w:tc>
      </w:tr>
      <w:tr w14:paraId="2488F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3A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6E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E7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3C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BC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CD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30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F9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3E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E6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8B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4A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E56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C1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90.44</w:t>
            </w:r>
          </w:p>
        </w:tc>
      </w:tr>
      <w:tr w14:paraId="1B25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1D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9F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16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4F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5D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6C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1C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16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9B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68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97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BD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8E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E2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177.47</w:t>
            </w:r>
          </w:p>
        </w:tc>
      </w:tr>
      <w:tr w14:paraId="4952C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4E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B6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AB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F1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BF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DC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EC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A7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02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96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F0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F0C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59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16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23.07</w:t>
            </w:r>
          </w:p>
        </w:tc>
      </w:tr>
      <w:tr w14:paraId="26BCB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DB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0A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07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BE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86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5D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8F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32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87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F8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1A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B2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C8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93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1,190.58</w:t>
            </w:r>
          </w:p>
        </w:tc>
      </w:tr>
      <w:tr w14:paraId="28435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B5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2E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DC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AC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24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82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65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E25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FF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F7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8D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B6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38B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5F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154.78</w:t>
            </w:r>
          </w:p>
        </w:tc>
      </w:tr>
      <w:tr w14:paraId="4561D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43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20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69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8F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2D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06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7C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2B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43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97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CF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86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71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84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622.44</w:t>
            </w:r>
          </w:p>
        </w:tc>
      </w:tr>
      <w:tr w14:paraId="483E8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50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59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6F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E2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CC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C8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AC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6B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40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1E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FE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37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EC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8A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949.73</w:t>
            </w:r>
          </w:p>
        </w:tc>
      </w:tr>
      <w:tr w14:paraId="0B8A1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D1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DC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85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9D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9A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16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C38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8F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FB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F6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81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39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62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FF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56.98</w:t>
            </w:r>
          </w:p>
        </w:tc>
      </w:tr>
      <w:tr w14:paraId="5478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1B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54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73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5E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A3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B5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15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94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C3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DF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3B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F1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9B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02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15.00</w:t>
            </w:r>
          </w:p>
        </w:tc>
      </w:tr>
      <w:tr w14:paraId="634BA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37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63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290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BC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482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F1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DD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69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D8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58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9F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54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AF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F7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0.90</w:t>
            </w:r>
          </w:p>
        </w:tc>
      </w:tr>
      <w:tr w14:paraId="0D088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7A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66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5E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6B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3B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93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62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86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F1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18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FB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68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FD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A1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406.07</w:t>
            </w:r>
          </w:p>
        </w:tc>
      </w:tr>
      <w:tr w14:paraId="31AF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67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73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301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AD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8FB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77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3F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63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AB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2A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40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D8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0B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CB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24.36</w:t>
            </w:r>
          </w:p>
        </w:tc>
      </w:tr>
      <w:tr w14:paraId="7A9FE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C6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A1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F4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AD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41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30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10B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05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6D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44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12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09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BE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44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4,056.97</w:t>
            </w:r>
          </w:p>
        </w:tc>
      </w:tr>
      <w:tr w14:paraId="3E66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31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AB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B7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03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7F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80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B5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67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F6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25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94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A9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1F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9C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w:t>
            </w:r>
          </w:p>
        </w:tc>
      </w:tr>
      <w:tr w14:paraId="0E418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32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D2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77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9E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34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FF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C8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D4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7C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A4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D7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07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AD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3E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1,190.31</w:t>
            </w:r>
          </w:p>
        </w:tc>
      </w:tr>
      <w:tr w14:paraId="133F9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2C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419.73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23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355.81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6F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289.59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02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220.99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57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149.91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C8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76.28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E5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94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2A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BB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59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7A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F1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7D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0.00</w:t>
            </w:r>
          </w:p>
        </w:tc>
      </w:tr>
      <w:tr w14:paraId="744DD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20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5,667.01</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57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5,603.09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4B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5,536.87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EA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5,468.27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A6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5,397.19</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BE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5,323.56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9E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8E1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FF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2A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24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26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D64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C2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5,247.28</w:t>
            </w:r>
          </w:p>
        </w:tc>
      </w:tr>
      <w:tr w14:paraId="06D7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56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73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C5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B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5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0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5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C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02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C4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40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F7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A3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4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2,078.73</w:t>
            </w:r>
          </w:p>
        </w:tc>
      </w:tr>
      <w:tr w14:paraId="6880B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99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3,588.27</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D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3,524.36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1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3,458.14</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E6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3,389.53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8A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3,318.46</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38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3,244.83</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7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DF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32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10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79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E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5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6D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3,168.55</w:t>
            </w:r>
          </w:p>
        </w:tc>
      </w:tr>
      <w:tr w14:paraId="277E5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14FB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B22C3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DA886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8570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8A98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74F2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4DE4F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7E79AE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7098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DEC04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45AA2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017D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B85B1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c>
          <w:tcPr>
            <w:tcW w:w="357"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5BB8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350.53</w:t>
            </w:r>
          </w:p>
        </w:tc>
      </w:tr>
    </w:tbl>
    <w:p w14:paraId="3469021A">
      <w:pPr>
        <w:pStyle w:val="2"/>
        <w:rPr>
          <w:rFonts w:hint="eastAsia"/>
        </w:rPr>
      </w:pPr>
    </w:p>
    <w:p w14:paraId="752A2FA0">
      <w:pPr>
        <w:rPr>
          <w:rFonts w:hint="eastAsia"/>
        </w:rPr>
      </w:pPr>
    </w:p>
    <w:p w14:paraId="4A506213">
      <w:pPr>
        <w:pStyle w:val="2"/>
        <w:rPr>
          <w:rFonts w:hint="eastAsia"/>
        </w:rPr>
      </w:pPr>
    </w:p>
    <w:p w14:paraId="1C89EB51">
      <w:pPr>
        <w:rPr>
          <w:rFonts w:hint="eastAsia"/>
        </w:rPr>
      </w:pPr>
    </w:p>
    <w:p w14:paraId="00279623">
      <w:pPr>
        <w:pStyle w:val="2"/>
        <w:rPr>
          <w:rFonts w:hint="eastAsia"/>
        </w:rPr>
      </w:pPr>
    </w:p>
    <w:p w14:paraId="1D2B9059">
      <w:pPr>
        <w:rPr>
          <w:rFonts w:hint="eastAsia"/>
        </w:rPr>
      </w:pPr>
    </w:p>
    <w:p w14:paraId="62B79947">
      <w:pPr>
        <w:pStyle w:val="2"/>
        <w:rPr>
          <w:rFonts w:hint="eastAsia"/>
        </w:rPr>
      </w:pPr>
    </w:p>
    <w:p w14:paraId="59EBD5C6">
      <w:pPr>
        <w:rPr>
          <w:rFonts w:hint="eastAsia"/>
        </w:rPr>
      </w:pPr>
    </w:p>
    <w:p w14:paraId="363D4014">
      <w:pPr>
        <w:pStyle w:val="2"/>
        <w:rPr>
          <w:rFonts w:hint="eastAsia"/>
        </w:rPr>
      </w:pPr>
    </w:p>
    <w:p w14:paraId="6393DFEC">
      <w:pPr>
        <w:rPr>
          <w:rFonts w:hint="eastAsia"/>
        </w:rPr>
      </w:pPr>
    </w:p>
    <w:p w14:paraId="17C87927">
      <w:pPr>
        <w:pStyle w:val="2"/>
        <w:rPr>
          <w:rFonts w:hint="eastAsia"/>
        </w:rPr>
      </w:pPr>
    </w:p>
    <w:p w14:paraId="5C9AED2F">
      <w:pPr>
        <w:rPr>
          <w:rFonts w:hint="eastAsia"/>
        </w:rPr>
      </w:pPr>
    </w:p>
    <w:p w14:paraId="451C8314">
      <w:pPr>
        <w:pStyle w:val="12"/>
        <w:spacing w:line="240" w:lineRule="auto"/>
        <w:rPr>
          <w:color w:val="000000" w:themeColor="text1"/>
          <w14:textFill>
            <w14:solidFill>
              <w14:schemeClr w14:val="tx1"/>
            </w14:solidFill>
          </w14:textFill>
        </w:rPr>
      </w:pPr>
    </w:p>
    <w:p w14:paraId="272DA778">
      <w:pPr>
        <w:pStyle w:val="7"/>
        <w:numPr>
          <w:ilvl w:val="0"/>
          <w:numId w:val="90"/>
        </w:numPr>
        <w:ind w:left="454" w:leftChars="0" w:hanging="454" w:firstLineChars="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经营收入表</w:t>
      </w:r>
    </w:p>
    <w:tbl>
      <w:tblPr>
        <w:tblStyle w:val="2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8"/>
        <w:gridCol w:w="2849"/>
        <w:gridCol w:w="1531"/>
        <w:gridCol w:w="1015"/>
        <w:gridCol w:w="1015"/>
        <w:gridCol w:w="1015"/>
        <w:gridCol w:w="1015"/>
        <w:gridCol w:w="1015"/>
        <w:gridCol w:w="1015"/>
        <w:gridCol w:w="1015"/>
        <w:gridCol w:w="1016"/>
        <w:gridCol w:w="1016"/>
        <w:gridCol w:w="1016"/>
      </w:tblGrid>
      <w:tr w14:paraId="7E911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45" w:type="pct"/>
            <w:vMerge w:val="restart"/>
            <w:tcBorders>
              <w:top w:val="single" w:color="000000" w:sz="8" w:space="0"/>
              <w:left w:val="nil"/>
              <w:bottom w:val="single" w:color="000000" w:sz="4" w:space="0"/>
              <w:right w:val="single" w:color="000000" w:sz="4" w:space="0"/>
            </w:tcBorders>
            <w:shd w:val="clear" w:color="auto" w:fill="D9D9D9"/>
            <w:noWrap/>
            <w:vAlign w:val="center"/>
          </w:tcPr>
          <w:p w14:paraId="738FA4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序号</w:t>
            </w:r>
          </w:p>
        </w:tc>
        <w:tc>
          <w:tcPr>
            <w:tcW w:w="912" w:type="pct"/>
            <w:vMerge w:val="restart"/>
            <w:tcBorders>
              <w:top w:val="single" w:color="000000" w:sz="8" w:space="0"/>
              <w:left w:val="single" w:color="000000" w:sz="4" w:space="0"/>
              <w:bottom w:val="single" w:color="000000" w:sz="4" w:space="0"/>
              <w:right w:val="single" w:color="000000" w:sz="4" w:space="0"/>
            </w:tcBorders>
            <w:shd w:val="clear" w:color="auto" w:fill="D9D9D9"/>
            <w:vAlign w:val="center"/>
          </w:tcPr>
          <w:p w14:paraId="0C6644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w:t>
            </w:r>
          </w:p>
        </w:tc>
        <w:tc>
          <w:tcPr>
            <w:tcW w:w="490"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7EAC5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6AE85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E673D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62BE0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A072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343D4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B83FA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0FD7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1758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492D7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A2636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59944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vMerge w:val="continue"/>
            <w:tcBorders>
              <w:top w:val="single" w:color="000000" w:sz="8" w:space="0"/>
              <w:left w:val="nil"/>
              <w:bottom w:val="single" w:color="000000" w:sz="4" w:space="0"/>
              <w:right w:val="single" w:color="000000" w:sz="4" w:space="0"/>
            </w:tcBorders>
            <w:shd w:val="clear" w:color="auto" w:fill="D9D9D9"/>
            <w:noWrap/>
            <w:vAlign w:val="center"/>
          </w:tcPr>
          <w:p w14:paraId="1078BF6D">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912" w:type="pct"/>
            <w:vMerge w:val="continue"/>
            <w:tcBorders>
              <w:top w:val="single" w:color="000000" w:sz="8" w:space="0"/>
              <w:left w:val="single" w:color="000000" w:sz="4" w:space="0"/>
              <w:bottom w:val="single" w:color="000000" w:sz="4" w:space="0"/>
              <w:right w:val="single" w:color="000000" w:sz="4" w:space="0"/>
            </w:tcBorders>
            <w:shd w:val="clear" w:color="auto" w:fill="D9D9D9"/>
            <w:vAlign w:val="center"/>
          </w:tcPr>
          <w:p w14:paraId="26906D9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490"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067496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F037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A88F5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E12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59765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23522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456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1675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7BE03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8CF3B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32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AEC7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r>
      <w:tr w14:paraId="1CEB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069A6F5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F93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lang w:val="en-US"/>
              </w:rPr>
            </w:pPr>
            <w:r>
              <w:rPr>
                <w:rFonts w:hint="default" w:ascii="Times New Roman" w:hAnsi="Times New Roman" w:eastAsia="仿宋" w:cs="Times New Roman"/>
                <w:i w:val="0"/>
                <w:iCs w:val="0"/>
                <w:color w:val="000000"/>
                <w:kern w:val="0"/>
                <w:sz w:val="20"/>
                <w:szCs w:val="20"/>
                <w:u w:val="none"/>
                <w:lang w:val="en-US" w:eastAsia="zh-CN" w:bidi="ar"/>
              </w:rPr>
              <w:t>生活垃圾处理</w:t>
            </w:r>
            <w:r>
              <w:rPr>
                <w:rFonts w:hint="eastAsia" w:cs="Times New Roman"/>
                <w:i w:val="0"/>
                <w:iCs w:val="0"/>
                <w:color w:val="000000"/>
                <w:kern w:val="0"/>
                <w:sz w:val="20"/>
                <w:szCs w:val="20"/>
                <w:u w:val="none"/>
                <w:lang w:val="en-US" w:eastAsia="zh-CN" w:bidi="ar"/>
              </w:rPr>
              <w:t>运行补贴</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40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176,549.81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D5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3,746.42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F8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4,214.72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1A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66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C8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24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D1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DE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F9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37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r>
      <w:tr w14:paraId="74DC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395E97BA">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FE76">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单价/（元/吨）（不含税）</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DD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6,094.34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1F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4F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61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F2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71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15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0D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70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55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3D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r>
      <w:tr w14:paraId="1223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22BB68F2">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8DF8B">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数量/(万吨)</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E5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1,100.84</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72F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23.36</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E94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26.28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EA9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674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7B4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D16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107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8B4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0F4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E03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r>
      <w:tr w14:paraId="6EBF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4969171D">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D6C1C">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销项税</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3F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10,592.99</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E1F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224.78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400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252.88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5AF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E8F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5CF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934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50A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18C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956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D5E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r>
      <w:tr w14:paraId="4B7C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30F57F09">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F9E0F">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达产率</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90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37.70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74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9C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22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6E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41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04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F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D0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1F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FC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r>
      <w:tr w14:paraId="7B60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7B495E6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DCF8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上网发电</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4F6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102,820.16</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9C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2,829.80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F0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2,879.27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06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2,928.74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EA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2,978.22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43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3,027.69</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88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3,087.06</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A13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3,136.53</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7A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3,186.00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7F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3,235.47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CA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r>
      <w:tr w14:paraId="63B23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78BD3FFE">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8CC0">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单价/（元/kW·h）</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08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10.84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F5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42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D5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0E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EE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63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C1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D9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4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FF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r>
      <w:tr w14:paraId="71198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21444E94">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7C5B">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数量/（万kW·h）</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C8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361,671.20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0F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8,351.20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92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8,497.20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59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8,643.20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F6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8,789.20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A7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8,935.20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70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9,110.40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A5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9,256.40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95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9,402.40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F9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9,548.40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E2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r>
      <w:tr w14:paraId="53E7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20A9EE28">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F79DF">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销项税额</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15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13,366.62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D2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367.87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20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374.31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08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380.74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E4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387.17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12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393.60</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39C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401.32</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83F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407.75</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12A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414.18</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529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420.61</w:t>
            </w:r>
          </w:p>
        </w:tc>
        <w:tc>
          <w:tcPr>
            <w:tcW w:w="3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BAC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r>
      <w:tr w14:paraId="27B29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40875D4D">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4B62">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营业收入总计</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BA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279,369.97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65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6,576.22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72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7,093.99</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B7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7,611.76</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27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7,661.24</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21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7,710.71</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D7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7,770.07</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BB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7,819.55</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6A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7,869.02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CD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7,918.49</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6E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r>
      <w:tr w14:paraId="3475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5" w:type="pct"/>
            <w:tcBorders>
              <w:top w:val="single" w:color="000000" w:sz="4" w:space="0"/>
              <w:left w:val="nil"/>
              <w:bottom w:val="single" w:color="000000" w:sz="4" w:space="0"/>
              <w:right w:val="single" w:color="000000" w:sz="4" w:space="0"/>
            </w:tcBorders>
            <w:shd w:val="clear" w:color="auto" w:fill="auto"/>
            <w:noWrap/>
            <w:vAlign w:val="center"/>
          </w:tcPr>
          <w:p w14:paraId="171B49E7">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B8D3">
            <w:pPr>
              <w:keepNext w:val="0"/>
              <w:keepLines w:val="0"/>
              <w:widowControl/>
              <w:suppressLineNumbers w:val="0"/>
              <w:spacing w:before="0" w:beforeAutospacing="0" w:after="0" w:afterAutospacing="0"/>
              <w:ind w:left="0" w:right="0" w:firstLineChars="10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销项税额合计</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FC58">
            <w:pPr>
              <w:keepNext w:val="0"/>
              <w:keepLines w:val="0"/>
              <w:suppressLineNumbers w:val="0"/>
              <w:spacing w:before="0" w:beforeAutospacing="0" w:after="0" w:afterAutospacing="0"/>
              <w:ind w:left="0" w:right="0"/>
              <w:jc w:val="right"/>
              <w:rPr>
                <w:rFonts w:hint="default" w:ascii="Times New Roman" w:hAnsi="Times New Roman" w:eastAsia="仿宋" w:cs="Times New Roman"/>
                <w:i w:val="0"/>
                <w:iCs w:val="0"/>
                <w:color w:val="000000"/>
                <w:sz w:val="20"/>
                <w:szCs w:val="20"/>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13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592.66</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AC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627.19</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F3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661.72</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F1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668.15</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2F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674.58</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35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682.30</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18C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688.73</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44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695.16</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AA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701.59</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C4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r>
    </w:tbl>
    <w:p w14:paraId="7CD23109">
      <w:pPr>
        <w:spacing w:line="240" w:lineRule="auto"/>
        <w:rPr>
          <w:rFonts w:hint="eastAsia" w:ascii="仿宋" w:hAnsi="仿宋" w:cs="仿宋"/>
          <w:color w:val="000000" w:themeColor="text1"/>
          <w14:textFill>
            <w14:solidFill>
              <w14:schemeClr w14:val="tx1"/>
            </w14:solidFill>
          </w14:textFill>
        </w:rPr>
      </w:pPr>
    </w:p>
    <w:p w14:paraId="52AD4FAC">
      <w:pPr>
        <w:spacing w:line="240" w:lineRule="auto"/>
        <w:rPr>
          <w:rFonts w:hint="eastAsia" w:ascii="仿宋" w:hAnsi="仿宋" w:cs="仿宋"/>
          <w:color w:val="000000" w:themeColor="text1"/>
          <w14:textFill>
            <w14:solidFill>
              <w14:schemeClr w14:val="tx1"/>
            </w14:solidFill>
          </w14:textFill>
        </w:rPr>
      </w:pPr>
    </w:p>
    <w:p w14:paraId="10867A8D">
      <w:pPr>
        <w:spacing w:line="240" w:lineRule="auto"/>
        <w:rPr>
          <w:rFonts w:hint="eastAsia" w:ascii="仿宋" w:hAnsi="仿宋" w:cs="仿宋"/>
          <w:color w:val="000000" w:themeColor="text1"/>
          <w14:textFill>
            <w14:solidFill>
              <w14:schemeClr w14:val="tx1"/>
            </w14:solidFill>
          </w14:textFill>
        </w:rPr>
      </w:pPr>
    </w:p>
    <w:p w14:paraId="0811166E">
      <w:pPr>
        <w:spacing w:line="240" w:lineRule="auto"/>
        <w:rPr>
          <w:rFonts w:hint="eastAsia" w:ascii="仿宋" w:hAnsi="仿宋" w:cs="仿宋"/>
          <w:color w:val="000000" w:themeColor="text1"/>
          <w14:textFill>
            <w14:solidFill>
              <w14:schemeClr w14:val="tx1"/>
            </w14:solidFill>
          </w14:textFill>
        </w:rPr>
      </w:pP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9"/>
        <w:gridCol w:w="1029"/>
        <w:gridCol w:w="1029"/>
        <w:gridCol w:w="1029"/>
        <w:gridCol w:w="1029"/>
        <w:gridCol w:w="1001"/>
        <w:gridCol w:w="979"/>
        <w:gridCol w:w="1001"/>
        <w:gridCol w:w="1348"/>
        <w:gridCol w:w="1029"/>
        <w:gridCol w:w="1348"/>
        <w:gridCol w:w="1267"/>
        <w:gridCol w:w="1311"/>
        <w:gridCol w:w="1179"/>
      </w:tblGrid>
      <w:tr w14:paraId="16AC6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741B1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87CC2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B23C9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260D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F9824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0"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17A0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1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7DA5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0"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60436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31"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2CACB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D0011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31"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B0F7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0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5E64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1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F5C59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7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00DA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1C9C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03AD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F982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03A7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81F27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67B9F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2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24195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31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5FC3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32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36EBD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4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E85F8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32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2686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4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59A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40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1EDBC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41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D35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37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7309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w:t>
            </w:r>
          </w:p>
        </w:tc>
      </w:tr>
      <w:tr w14:paraId="2597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D8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35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E3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F2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09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FF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A4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BD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A0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BF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F9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BC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B2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A4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r>
      <w:tr w14:paraId="4B283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54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46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C3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C4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85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5B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FD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8B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8B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01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7B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CD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BD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BE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r>
      <w:tr w14:paraId="7B56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6D2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075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D6E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AB6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952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7C6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087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325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061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716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647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FAD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442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3F5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r>
      <w:tr w14:paraId="58274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545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E74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C0F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484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F50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6A7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DA1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66E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BD4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2D6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216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E0E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3C7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97B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r>
      <w:tr w14:paraId="3A299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D3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B4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FF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20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AA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3A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7E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22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BD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2A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CF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1B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52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62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r>
      <w:tr w14:paraId="3E43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68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1F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88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B3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99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3,284.94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37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67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5A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C6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E5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96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89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F1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D0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r>
      <w:tr w14:paraId="39F3B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9A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56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6B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98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F9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0.34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3C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66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D9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16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48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B21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17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2F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37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r>
      <w:tr w14:paraId="1D354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47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65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B4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64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54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3A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BD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25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2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5C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22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C1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D8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B5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r>
      <w:tr w14:paraId="23641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B9D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A40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A0D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869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93F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427.04</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085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F71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6BE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ED0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4AD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848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279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008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443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r>
      <w:tr w14:paraId="1E4C9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31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4D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1F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4C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26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7,967.96</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C6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1E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14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AC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23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59E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DE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F2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87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r>
      <w:tr w14:paraId="5F7E0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E4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9E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BAF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38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6F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708.02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090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BC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76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BF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43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A9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E4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3C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49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r>
    </w:tbl>
    <w:p w14:paraId="549068BE">
      <w:pPr>
        <w:spacing w:line="240" w:lineRule="auto"/>
        <w:rPr>
          <w:rFonts w:hint="eastAsia" w:ascii="仿宋" w:hAnsi="仿宋" w:cs="仿宋"/>
          <w:color w:val="000000" w:themeColor="text1"/>
          <w14:textFill>
            <w14:solidFill>
              <w14:schemeClr w14:val="tx1"/>
            </w14:solidFill>
          </w14:textFill>
        </w:rPr>
      </w:pPr>
    </w:p>
    <w:p w14:paraId="55AE5720">
      <w:pPr>
        <w:spacing w:line="240" w:lineRule="auto"/>
        <w:rPr>
          <w:rFonts w:hint="eastAsia" w:ascii="仿宋" w:hAnsi="仿宋" w:cs="仿宋"/>
          <w:color w:val="000000" w:themeColor="text1"/>
          <w14:textFill>
            <w14:solidFill>
              <w14:schemeClr w14:val="tx1"/>
            </w14:solidFill>
          </w14:textFill>
        </w:rPr>
      </w:pPr>
    </w:p>
    <w:p w14:paraId="4F9CBFC4">
      <w:pPr>
        <w:spacing w:line="240" w:lineRule="auto"/>
        <w:rPr>
          <w:rFonts w:hint="eastAsia" w:ascii="仿宋" w:hAnsi="仿宋" w:cs="仿宋"/>
          <w:color w:val="000000" w:themeColor="text1"/>
          <w14:textFill>
            <w14:solidFill>
              <w14:schemeClr w14:val="tx1"/>
            </w14:solidFill>
          </w14:textFill>
        </w:rPr>
      </w:pPr>
    </w:p>
    <w:p w14:paraId="1481E122">
      <w:pPr>
        <w:spacing w:line="240" w:lineRule="auto"/>
        <w:rPr>
          <w:rFonts w:hint="eastAsia" w:ascii="仿宋" w:hAnsi="仿宋" w:cs="仿宋"/>
          <w:color w:val="000000" w:themeColor="text1"/>
          <w14:textFill>
            <w14:solidFill>
              <w14:schemeClr w14:val="tx1"/>
            </w14:solidFill>
          </w14:textFill>
        </w:rPr>
      </w:pPr>
    </w:p>
    <w:p w14:paraId="440F3826">
      <w:pPr>
        <w:spacing w:line="240" w:lineRule="auto"/>
        <w:rPr>
          <w:rFonts w:hint="eastAsia" w:ascii="仿宋" w:hAnsi="仿宋" w:cs="仿宋"/>
          <w:color w:val="000000" w:themeColor="text1"/>
          <w14:textFill>
            <w14:solidFill>
              <w14:schemeClr w14:val="tx1"/>
            </w14:solidFill>
          </w14:textFill>
        </w:rPr>
      </w:pP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1135"/>
        <w:gridCol w:w="982"/>
        <w:gridCol w:w="1157"/>
        <w:gridCol w:w="1091"/>
        <w:gridCol w:w="1091"/>
        <w:gridCol w:w="1047"/>
        <w:gridCol w:w="1091"/>
        <w:gridCol w:w="1026"/>
        <w:gridCol w:w="1047"/>
        <w:gridCol w:w="1069"/>
        <w:gridCol w:w="1273"/>
        <w:gridCol w:w="1273"/>
        <w:gridCol w:w="1276"/>
      </w:tblGrid>
      <w:tr w14:paraId="65D5E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4BE9D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6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084D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1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A62DD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70"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E81E2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397BE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7246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D2831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59C54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F93B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30B6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2"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F9FEE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19EF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7E20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0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19C01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450B8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F61D6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w:t>
            </w:r>
          </w:p>
        </w:tc>
        <w:tc>
          <w:tcPr>
            <w:tcW w:w="36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9816C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26</w:t>
            </w:r>
          </w:p>
        </w:tc>
        <w:tc>
          <w:tcPr>
            <w:tcW w:w="3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39D6E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27</w:t>
            </w:r>
          </w:p>
        </w:tc>
        <w:tc>
          <w:tcPr>
            <w:tcW w:w="37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AF19E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5A78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C4A40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30</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8A0E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w:t>
            </w:r>
          </w:p>
        </w:tc>
        <w:tc>
          <w:tcPr>
            <w:tcW w:w="3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10F9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w:t>
            </w:r>
          </w:p>
        </w:tc>
        <w:tc>
          <w:tcPr>
            <w:tcW w:w="32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FAD3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33</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1A9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34</w:t>
            </w:r>
          </w:p>
        </w:tc>
        <w:tc>
          <w:tcPr>
            <w:tcW w:w="342"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668A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35</w:t>
            </w: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6AA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36</w:t>
            </w: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C3B27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37</w:t>
            </w:r>
          </w:p>
        </w:tc>
        <w:tc>
          <w:tcPr>
            <w:tcW w:w="40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8DE3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38</w:t>
            </w:r>
          </w:p>
        </w:tc>
      </w:tr>
      <w:tr w14:paraId="2E81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6F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40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33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F0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CA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56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DC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AF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CA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DA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D1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0D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E4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EA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4,683.02</w:t>
            </w:r>
          </w:p>
        </w:tc>
      </w:tr>
      <w:tr w14:paraId="71E2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B1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DB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07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A8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17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E2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E9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35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CB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63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27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21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2D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AF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160.38</w:t>
            </w:r>
          </w:p>
        </w:tc>
      </w:tr>
      <w:tr w14:paraId="0B02E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CDA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79C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8DC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588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807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406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609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66C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A93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D87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039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2C0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093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C75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29.20</w:t>
            </w:r>
          </w:p>
        </w:tc>
      </w:tr>
      <w:tr w14:paraId="28B8D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B7F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9F1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4A1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2B2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428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901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A23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DED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9AB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D69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96D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798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5C4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31C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280.98</w:t>
            </w:r>
          </w:p>
        </w:tc>
      </w:tr>
      <w:tr w14:paraId="1BCD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E1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E7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3E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BC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A0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3B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8E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B4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AF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AA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B7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3C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57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C0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100.00%</w:t>
            </w:r>
          </w:p>
        </w:tc>
      </w:tr>
      <w:tr w14:paraId="53185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57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0AC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7E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EC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37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25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1C0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FD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B5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7B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5A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7A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77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1C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2,427.03</w:t>
            </w:r>
          </w:p>
        </w:tc>
      </w:tr>
      <w:tr w14:paraId="5510E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C6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27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CE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FF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A8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81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74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72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2F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24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96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67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E73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38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0.25</w:t>
            </w:r>
          </w:p>
        </w:tc>
      </w:tr>
      <w:tr w14:paraId="4E3BE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F2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81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F1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198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67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ED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F2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BA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CDD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2589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C1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DE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76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79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9,694.40</w:t>
            </w:r>
          </w:p>
        </w:tc>
      </w:tr>
      <w:tr w14:paraId="7239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747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57D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A95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B2C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DEA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719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FAB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EAF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9EB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8A0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3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2E5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E52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858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F87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315.51</w:t>
            </w:r>
          </w:p>
        </w:tc>
      </w:tr>
      <w:tr w14:paraId="0AC41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0C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DC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B9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30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B2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44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26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57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2B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A8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F5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53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37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A2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7,110.05</w:t>
            </w:r>
          </w:p>
        </w:tc>
      </w:tr>
      <w:tr w14:paraId="5CC1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A7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7B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10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7E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2C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9A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D2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55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B8B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6D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A8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2F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AF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11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596.50</w:t>
            </w:r>
          </w:p>
        </w:tc>
      </w:tr>
    </w:tbl>
    <w:p w14:paraId="5DD66082">
      <w:pPr>
        <w:spacing w:line="240" w:lineRule="auto"/>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br w:type="page"/>
      </w:r>
    </w:p>
    <w:p w14:paraId="7BEA91EC">
      <w:pPr>
        <w:pStyle w:val="7"/>
        <w:numPr>
          <w:ilvl w:val="0"/>
          <w:numId w:val="90"/>
        </w:numPr>
        <w:ind w:left="454" w:leftChars="0" w:hanging="454" w:firstLineChars="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还本付息表</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600"/>
        <w:gridCol w:w="1116"/>
        <w:gridCol w:w="1116"/>
        <w:gridCol w:w="1116"/>
        <w:gridCol w:w="1116"/>
        <w:gridCol w:w="1116"/>
        <w:gridCol w:w="1116"/>
        <w:gridCol w:w="1116"/>
        <w:gridCol w:w="1116"/>
        <w:gridCol w:w="1116"/>
        <w:gridCol w:w="1116"/>
        <w:gridCol w:w="1116"/>
        <w:gridCol w:w="1116"/>
      </w:tblGrid>
      <w:tr w14:paraId="138B8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90101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序号</w:t>
            </w: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D6A18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D32D7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D256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建设期</w:t>
            </w:r>
          </w:p>
        </w:tc>
        <w:tc>
          <w:tcPr>
            <w:tcW w:w="32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391A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建设期</w:t>
            </w:r>
          </w:p>
        </w:tc>
        <w:tc>
          <w:tcPr>
            <w:tcW w:w="37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28B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6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75BFE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40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7F915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6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98F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F640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B4C3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C9F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76A10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DC3A3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658EB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D14E2E">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DC6FE44">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174F0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024DB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6D16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7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B4E7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0D9B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7D4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B348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5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A5B68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5D509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E69E6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DC2F8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3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E1E0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r>
      <w:tr w14:paraId="19C5B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26D9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4D4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银行长期借款</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B6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71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6C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A9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8D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A2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54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89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91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04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F6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F6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F6A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3B5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9E8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期初借款余额</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49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D7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88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17,384.89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72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8A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43,411.05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A2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42,627.03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3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41,814.79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BC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40,973.31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9C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40,101.53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27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39,198.36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CA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38,262.69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58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37,293.33 </w:t>
            </w:r>
          </w:p>
        </w:tc>
      </w:tr>
      <w:tr w14:paraId="6AD24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82C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65A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本年借款</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E5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34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17,384.89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93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26,782.94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00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7B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A6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CA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A5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D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9C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B1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59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r>
      <w:tr w14:paraId="36D49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679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CF2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本年应计利息</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9E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A4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312.93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EB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1,107.95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20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1,590.04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D5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1,562.80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D8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1,534.57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26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1,505.33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B03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1,475.04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5F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1,443.65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32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1,411.14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7D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1,377.46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0C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1,342.56 </w:t>
            </w:r>
          </w:p>
        </w:tc>
      </w:tr>
      <w:tr w14:paraId="7AAF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6E2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2EB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当期还本付息</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95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6E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312.93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6C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1,107.95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7D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20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62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E7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E0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0B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1C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DD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A6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r>
      <w:tr w14:paraId="21C1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E8B7">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66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其中：还本</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B6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2D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52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2D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756.78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9B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784.02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2E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812.24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CC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841.49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31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871.78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709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903.16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51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935.68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00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969.36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6C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1,004.26 </w:t>
            </w:r>
          </w:p>
        </w:tc>
      </w:tr>
      <w:tr w14:paraId="3328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E570">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448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付息</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C7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32,351.21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8C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312.93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A6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1,107.95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D2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1,590.04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E1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1,562.80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32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1,534.57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43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1,505.33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DD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1,475.04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3D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1,443.65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13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1,411.14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1A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1,377.46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6E0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1,342.56 </w:t>
            </w:r>
          </w:p>
        </w:tc>
      </w:tr>
      <w:tr w14:paraId="1D6B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E90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D59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期末借款余额</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66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D9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17,384.89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D2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40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43,411.05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2B1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42,627.03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44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41,814.79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6E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40,973.31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21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40,101.53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AE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39,198.36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FD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38,262.69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C2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37,293.33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A4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36,289.07 </w:t>
            </w:r>
          </w:p>
        </w:tc>
      </w:tr>
      <w:tr w14:paraId="0F81D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0E1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60C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借款合计</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19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2E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FE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FB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9A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B5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A8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AB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B6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B1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EF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B2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1099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03C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2</w:t>
            </w:r>
            <w:r>
              <w:rPr>
                <w:rFonts w:hint="default" w:ascii="Times New Roman" w:hAnsi="Times New Roman" w:eastAsia="仿宋" w:cs="Times New Roman"/>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F3E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期初余额</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4E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3A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7D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17,384.89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FD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0B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43,411.05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DD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42,627.03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2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41,814.79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5A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40,973.31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68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40,101.53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2FC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39,198.36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2E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38,262.69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52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37,293.33 </w:t>
            </w:r>
          </w:p>
        </w:tc>
      </w:tr>
      <w:tr w14:paraId="006F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3C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2</w:t>
            </w:r>
            <w:r>
              <w:rPr>
                <w:rFonts w:hint="default" w:ascii="Times New Roman" w:hAnsi="Times New Roman" w:eastAsia="仿宋" w:cs="Times New Roman"/>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508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当期还本付息</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42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76,519.04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DF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312.93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1D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1,107.95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FC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CE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86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57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0B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67E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9C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D0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12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r>
      <w:tr w14:paraId="2D28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8084">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E36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其中：还本</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16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7B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39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8E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756.78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AD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784.02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07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812.24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5F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841.49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AC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871.78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C4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903.16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F13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935.68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2BD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969.36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DE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1,004.26 </w:t>
            </w:r>
          </w:p>
        </w:tc>
      </w:tr>
      <w:tr w14:paraId="3192B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BBC2">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9E2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付息</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AD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32,351.21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AE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312.93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AE9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1,107.95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49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1,590.04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98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1,562.80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7C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1,534.57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10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1,505.33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65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1,475.04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D4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1,443.65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92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1,411.14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EB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1,377.46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86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1,342.56 </w:t>
            </w:r>
          </w:p>
        </w:tc>
      </w:tr>
      <w:tr w14:paraId="5266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FCC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2</w:t>
            </w:r>
            <w:r>
              <w:rPr>
                <w:rFonts w:hint="default" w:ascii="Times New Roman" w:hAnsi="Times New Roman" w:eastAsia="仿宋" w:cs="Times New Roman"/>
                <w:i w:val="0"/>
                <w:iCs w:val="0"/>
                <w:color w:val="000000"/>
                <w:kern w:val="0"/>
                <w:sz w:val="20"/>
                <w:szCs w:val="20"/>
                <w:u w:val="none"/>
                <w:lang w:val="en-US" w:eastAsia="zh-CN" w:bidi="ar"/>
              </w:rPr>
              <w:t>.3</w:t>
            </w: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D67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期末余额</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5B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62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17,384.89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F1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44,167.83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A8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43,411.05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E0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42,627.03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90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41,814.79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D60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40,973.31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3A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40,101.53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93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39,198.36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61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38,262.69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8C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37,293.33 </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23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36,289.07 </w:t>
            </w:r>
          </w:p>
        </w:tc>
      </w:tr>
      <w:tr w14:paraId="64DB3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9F1C">
            <w:pPr>
              <w:keepNext w:val="0"/>
              <w:keepLines w:val="0"/>
              <w:suppressLineNumbers w:val="0"/>
              <w:spacing w:before="0" w:beforeAutospacing="0" w:after="0" w:afterAutospacing="0"/>
              <w:ind w:left="0" w:right="0"/>
              <w:jc w:val="left"/>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696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偿债备付率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B7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0A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C3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A2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7A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67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167%</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94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CB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81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167%</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8C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161%</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A3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2E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164%</w:t>
            </w:r>
          </w:p>
        </w:tc>
      </w:tr>
      <w:tr w14:paraId="098C9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01C8D0">
            <w:pPr>
              <w:keepNext w:val="0"/>
              <w:keepLines w:val="0"/>
              <w:suppressLineNumbers w:val="0"/>
              <w:spacing w:before="0" w:beforeAutospacing="0" w:after="0" w:afterAutospacing="0"/>
              <w:ind w:left="0" w:right="0"/>
              <w:rPr>
                <w:rFonts w:hint="default" w:ascii="Times New Roman" w:hAnsi="Times New Roman" w:eastAsia="仿宋" w:cs="Times New Roman"/>
                <w:i w:val="0"/>
                <w:iCs w:val="0"/>
                <w:color w:val="000000"/>
                <w:sz w:val="20"/>
                <w:szCs w:val="20"/>
                <w:u w:val="none"/>
              </w:rPr>
            </w:pPr>
          </w:p>
        </w:tc>
        <w:tc>
          <w:tcPr>
            <w:tcW w:w="6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CAF8AD">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利息备付率</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2B92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F8A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5FF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730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D9F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1B4F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22B0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254%</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1E2E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137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272%</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529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268%</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FEAF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277%</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31EE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287%</w:t>
            </w:r>
          </w:p>
        </w:tc>
      </w:tr>
    </w:tbl>
    <w:p w14:paraId="45CDBA01">
      <w:pPr>
        <w:spacing w:line="240" w:lineRule="auto"/>
        <w:rPr>
          <w:rFonts w:hint="eastAsia" w:ascii="仿宋" w:hAnsi="仿宋" w:cs="仿宋"/>
          <w:color w:val="000000" w:themeColor="text1"/>
          <w14:textFill>
            <w14:solidFill>
              <w14:schemeClr w14:val="tx1"/>
            </w14:solidFill>
          </w14:textFill>
        </w:rPr>
      </w:pP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1114"/>
        <w:gridCol w:w="1115"/>
        <w:gridCol w:w="1115"/>
        <w:gridCol w:w="1115"/>
        <w:gridCol w:w="1115"/>
        <w:gridCol w:w="1115"/>
        <w:gridCol w:w="1115"/>
        <w:gridCol w:w="1115"/>
        <w:gridCol w:w="1115"/>
        <w:gridCol w:w="1115"/>
        <w:gridCol w:w="1115"/>
        <w:gridCol w:w="1115"/>
        <w:gridCol w:w="1115"/>
      </w:tblGrid>
      <w:tr w14:paraId="53C05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32F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8EB0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F276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9C62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4947F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3BC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0DBC1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84529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8FBE9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F7EF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A76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C846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16B7D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2EBD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运营期</w:t>
            </w:r>
          </w:p>
        </w:tc>
      </w:tr>
      <w:tr w14:paraId="19E37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6203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AA97D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11</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2B0F7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12</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21A3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13</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3684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84A3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7B50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16</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177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17</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102F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18</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90894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19</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6E87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20</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7ACA6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21</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0A59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22</w:t>
            </w:r>
          </w:p>
        </w:tc>
        <w:tc>
          <w:tcPr>
            <w:tcW w:w="35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A328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18"/>
                <w:szCs w:val="18"/>
                <w:u w:val="none"/>
              </w:rPr>
            </w:pPr>
            <w:r>
              <w:rPr>
                <w:rFonts w:hint="default" w:ascii="Times New Roman" w:hAnsi="Times New Roman" w:eastAsia="仿宋" w:cs="Times New Roman"/>
                <w:i w:val="0"/>
                <w:iCs w:val="0"/>
                <w:color w:val="000000"/>
                <w:kern w:val="0"/>
                <w:sz w:val="18"/>
                <w:szCs w:val="18"/>
                <w:u w:val="none"/>
                <w:lang w:val="en-US" w:eastAsia="zh-CN" w:bidi="ar"/>
              </w:rPr>
              <w:t>23</w:t>
            </w:r>
          </w:p>
        </w:tc>
      </w:tr>
      <w:tr w14:paraId="516AD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3B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0B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E2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527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94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51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7E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85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5C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71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25F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F8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43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15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2973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DA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36,289.07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6F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35,248.66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F7C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34,170.79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7E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33,054.12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A8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31,897.25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9E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30,698.74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A8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29,457.07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E4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28,170.71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D1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26,838.04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92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25,457.39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84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24,027.04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E1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22,545.20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9B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21,010.01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A1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19,419.55</w:t>
            </w:r>
          </w:p>
        </w:tc>
      </w:tr>
      <w:tr w14:paraId="0CC9C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10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D2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3F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2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5C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5B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18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C7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B9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CE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3B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2B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41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6E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w:t>
            </w:r>
          </w:p>
        </w:tc>
      </w:tr>
      <w:tr w14:paraId="763F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96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1,306.41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55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1,268.95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2D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1,230.15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E6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1,189.95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A2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1,148.30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48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1,105.15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C2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1,060.45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24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1,014.15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8D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966.17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4A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916.47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3F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864.97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64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811.63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9F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756.36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49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699.10</w:t>
            </w:r>
          </w:p>
        </w:tc>
      </w:tr>
      <w:tr w14:paraId="373F3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91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D2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D3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F3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C0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0C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9B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B9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29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D3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E2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44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44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D1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r>
      <w:tr w14:paraId="6DA2F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24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1,040.41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B4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1,077.87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A39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1,116.67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48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1,156.87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71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1,198.52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70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1,241.66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2F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1,286.36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17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1,332.67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75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1,380.65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81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1,430.35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447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1,481.84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1A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1,535.19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FA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1,590.46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D7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1,647.71</w:t>
            </w:r>
          </w:p>
        </w:tc>
      </w:tr>
      <w:tr w14:paraId="21D6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34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1,306.41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40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1,268.95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12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1,230.15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3E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1,189.95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DB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1,148.30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AA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1,105.15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CB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1,060.45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7F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1,014.15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E0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966.17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B1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916.47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62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864.97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50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811.63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87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756.36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57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699.10</w:t>
            </w:r>
          </w:p>
        </w:tc>
      </w:tr>
      <w:tr w14:paraId="777A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82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35,248.66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CA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34,170.79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B7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33,054.12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72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31,897.25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00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30,698.74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4B3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29,457.07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B8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28,170.71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01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26,838.04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8DC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25,457.39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6A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24,027.04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42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22,545.20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AD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21,010.01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F1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19,419.55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BE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17,771.84</w:t>
            </w:r>
          </w:p>
        </w:tc>
      </w:tr>
      <w:tr w14:paraId="2482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78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33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4D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9F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98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B9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66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B9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6F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01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66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C8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DD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A4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5C7B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F39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36,289.07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96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35,248.66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65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34,170.79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3C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33,054.12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EE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31,897.25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8C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30,698.74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6B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29,457.07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857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28,170.71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A8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26,838.04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D6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25,457.39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D5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24,027.04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1C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22,545.20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95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21,010.01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A6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19,419.55</w:t>
            </w:r>
          </w:p>
        </w:tc>
      </w:tr>
      <w:tr w14:paraId="16732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2C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79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30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2D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D3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11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A1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0A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FC2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48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5E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28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8D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DA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2,346.82</w:t>
            </w:r>
          </w:p>
        </w:tc>
      </w:tr>
      <w:tr w14:paraId="17FF5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06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1,040.41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3C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1,077.87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34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1,116.67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A7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1,156.87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D5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1,198.52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CC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1,241.66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02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1,286.36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56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1,332.67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08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1,380.65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41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1,430.35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9C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1,481.84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18A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1,535.19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81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1,590.46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34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1,647.71</w:t>
            </w:r>
          </w:p>
        </w:tc>
      </w:tr>
      <w:tr w14:paraId="1DBEF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A3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1,306.41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97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1,268.95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ED4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1,230.15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0A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1,189.95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8C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1,148.30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DF0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1,105.15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A0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1,060.45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52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1,014.15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59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966.17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06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916.47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41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864.97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3A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811.63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31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756.36</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14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699.10</w:t>
            </w:r>
          </w:p>
        </w:tc>
      </w:tr>
      <w:tr w14:paraId="5566F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96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35,248.66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4A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34,170.79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86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33,054.12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4F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31,897.25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1B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30,698.74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1D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29,457.07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88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28,170.71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CB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26,838.04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1E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25,457.39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63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24,027.04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A7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22,545.20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32D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21,010.01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1C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19,419.55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D9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17,771.84</w:t>
            </w:r>
          </w:p>
        </w:tc>
      </w:tr>
      <w:tr w14:paraId="4FB50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EF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67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6D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5A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23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11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61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58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132%</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18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67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131%</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5C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0B9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130%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69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2F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128%</w:t>
            </w:r>
          </w:p>
        </w:tc>
      </w:tr>
      <w:tr w14:paraId="6D26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BB8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29B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5DE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5228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324%</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499A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928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347%</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55A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96A7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305%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72FF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319%</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E05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81397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353%</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44B4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375%</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AFF5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400%</w:t>
            </w:r>
          </w:p>
        </w:tc>
        <w:tc>
          <w:tcPr>
            <w:tcW w:w="1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D477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431%</w:t>
            </w:r>
          </w:p>
        </w:tc>
      </w:tr>
    </w:tbl>
    <w:p w14:paraId="35BD5C71">
      <w:pPr>
        <w:pStyle w:val="2"/>
        <w:rPr>
          <w:rFonts w:hint="eastAsia"/>
        </w:rPr>
      </w:pP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8"/>
        <w:gridCol w:w="1618"/>
        <w:gridCol w:w="1618"/>
        <w:gridCol w:w="1618"/>
        <w:gridCol w:w="1587"/>
        <w:gridCol w:w="2121"/>
        <w:gridCol w:w="1783"/>
        <w:gridCol w:w="1674"/>
        <w:gridCol w:w="1971"/>
      </w:tblGrid>
      <w:tr w14:paraId="05680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18" w:type="pct"/>
            <w:tcBorders>
              <w:top w:val="single" w:color="000000" w:sz="8" w:space="0"/>
              <w:left w:val="nil"/>
              <w:bottom w:val="single" w:color="000000" w:sz="4" w:space="0"/>
              <w:right w:val="single" w:color="000000" w:sz="4" w:space="0"/>
            </w:tcBorders>
            <w:shd w:val="clear" w:color="auto" w:fill="D9D9D9"/>
            <w:noWrap/>
            <w:vAlign w:val="center"/>
          </w:tcPr>
          <w:p w14:paraId="18AE6E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1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8DAE2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1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938FE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1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8FFBC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08"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62B24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679"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607FB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71"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3195F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536"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3C5D8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631"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61730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r>
      <w:tr w14:paraId="2733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18" w:type="pct"/>
            <w:tcBorders>
              <w:top w:val="single" w:color="000000" w:sz="4" w:space="0"/>
              <w:left w:val="nil"/>
              <w:bottom w:val="single" w:color="000000" w:sz="4" w:space="0"/>
              <w:right w:val="single" w:color="000000" w:sz="4" w:space="0"/>
            </w:tcBorders>
            <w:shd w:val="clear" w:color="auto" w:fill="D9D9D9"/>
            <w:noWrap/>
            <w:vAlign w:val="center"/>
          </w:tcPr>
          <w:p w14:paraId="309873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51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EAAE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51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D2E7D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51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54DF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50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C7416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67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A904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57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7778B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3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13539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6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BD708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r>
      <w:tr w14:paraId="02DB5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50A3383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E4B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CD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8A6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896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3B0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5A5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742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8D6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271E2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5F4D7A2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17,771.84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545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16,064.80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5F2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14,296.32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F29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12,464.17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A2F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10,566.06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FFB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8,599.62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096A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6,562.39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032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4,451.82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CEA1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r>
      <w:tr w14:paraId="6F70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216280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D95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D23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177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FCE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E787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C88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2B5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C692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   </w:t>
            </w:r>
          </w:p>
        </w:tc>
      </w:tr>
      <w:tr w14:paraId="3589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5625ECC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639.79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711E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578.33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0F1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514.67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712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448.71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BD6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380.38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CC9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309.59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16BE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236.25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42CE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160.27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CAA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81.55 </w:t>
            </w:r>
          </w:p>
        </w:tc>
      </w:tr>
      <w:tr w14:paraId="700E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73B0E5E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4FB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6A8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494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549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B2B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B404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470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4B4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r>
      <w:tr w14:paraId="6C02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674CBB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1,707.03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06A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1,768.48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32D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1,832.15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9A5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1,898.11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8C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1,966.44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C35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2,037.23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63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2,110.57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525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2,186.55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E3A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r>
      <w:tr w14:paraId="2C468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5240284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639.79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148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578.33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790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514.67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5A4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448.71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460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380.38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BD5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309.59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F67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236.25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1A9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160.27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8A7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81.55 </w:t>
            </w:r>
          </w:p>
        </w:tc>
      </w:tr>
      <w:tr w14:paraId="6BBB8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2EDE656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16,064.80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526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14,296.32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C52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12,464.17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669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10,566.06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2D1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8,599.62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BE0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6,562.39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41A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4,451.82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70B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43E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-0.00 </w:t>
            </w:r>
          </w:p>
        </w:tc>
      </w:tr>
      <w:tr w14:paraId="3AD68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437F93D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54D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87E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18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853A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2A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221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861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F6B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29AF1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0398F3D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17,771.84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235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16,064.80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E51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14,296.32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937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12,464.17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081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10,566.06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95F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8,599.62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6C5E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6,562.39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8E7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4,451.82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AE1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r>
      <w:tr w14:paraId="2E05D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3AA6E66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D18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F55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3CA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272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9FE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919F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E6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004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2,346.82 </w:t>
            </w:r>
          </w:p>
        </w:tc>
      </w:tr>
      <w:tr w14:paraId="7BFF5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4" w:space="0"/>
              <w:right w:val="single" w:color="000000" w:sz="4" w:space="0"/>
            </w:tcBorders>
            <w:shd w:val="clear" w:color="auto" w:fill="auto"/>
            <w:noWrap/>
            <w:vAlign w:val="center"/>
          </w:tcPr>
          <w:p w14:paraId="555DB23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1,707.03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AC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1,768.48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106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1,832.15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DCA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1,898.11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192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1,966.44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0E7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2,037.23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867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2,110.57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0AB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2,186.55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731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r>
      <w:tr w14:paraId="7DB39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nil"/>
              <w:bottom w:val="single" w:color="000000" w:sz="8" w:space="0"/>
              <w:right w:val="single" w:color="000000" w:sz="4" w:space="0"/>
            </w:tcBorders>
            <w:shd w:val="clear" w:color="auto" w:fill="auto"/>
            <w:noWrap/>
            <w:vAlign w:val="center"/>
          </w:tcPr>
          <w:p w14:paraId="4D77DA8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639.79 </w:t>
            </w:r>
          </w:p>
        </w:tc>
        <w:tc>
          <w:tcPr>
            <w:tcW w:w="161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89D996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578.33 </w:t>
            </w:r>
          </w:p>
        </w:tc>
        <w:tc>
          <w:tcPr>
            <w:tcW w:w="161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1696E5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514.67 </w:t>
            </w:r>
          </w:p>
        </w:tc>
        <w:tc>
          <w:tcPr>
            <w:tcW w:w="161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0112BD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448.71 </w:t>
            </w:r>
          </w:p>
        </w:tc>
        <w:tc>
          <w:tcPr>
            <w:tcW w:w="158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75A6A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380.38 </w:t>
            </w:r>
          </w:p>
        </w:tc>
        <w:tc>
          <w:tcPr>
            <w:tcW w:w="212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2E83EF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309.59 </w:t>
            </w:r>
          </w:p>
        </w:tc>
        <w:tc>
          <w:tcPr>
            <w:tcW w:w="178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E79792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236.25 </w:t>
            </w:r>
          </w:p>
        </w:tc>
        <w:tc>
          <w:tcPr>
            <w:tcW w:w="167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BC78EA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160.27 </w:t>
            </w:r>
          </w:p>
        </w:tc>
        <w:tc>
          <w:tcPr>
            <w:tcW w:w="197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8506C3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81.55 </w:t>
            </w:r>
          </w:p>
        </w:tc>
      </w:tr>
      <w:tr w14:paraId="18801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F49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16,064.80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FEA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14,296.32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877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12,464.17 </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FE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10,566.06 </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1D5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8,599.62 </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AFC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6,562.39 </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D40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4,451.82 </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C53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2,265.27 </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E32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 -0.00 </w:t>
            </w:r>
          </w:p>
        </w:tc>
      </w:tr>
      <w:tr w14:paraId="3452E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5F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128%</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690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127%</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EEF2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126%</w:t>
            </w:r>
          </w:p>
        </w:tc>
        <w:tc>
          <w:tcPr>
            <w:tcW w:w="16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7F63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126%</w:t>
            </w:r>
          </w:p>
        </w:tc>
        <w:tc>
          <w:tcPr>
            <w:tcW w:w="1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14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125%</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93F7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124%</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1EF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123%</w:t>
            </w:r>
          </w:p>
        </w:tc>
        <w:tc>
          <w:tcPr>
            <w:tcW w:w="1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DEA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123%</w:t>
            </w:r>
          </w:p>
        </w:tc>
        <w:tc>
          <w:tcPr>
            <w:tcW w:w="1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1A2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122%</w:t>
            </w:r>
          </w:p>
        </w:tc>
      </w:tr>
    </w:tbl>
    <w:p w14:paraId="25E17BBF">
      <w:pPr>
        <w:spacing w:line="240" w:lineRule="auto"/>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br w:type="page"/>
      </w:r>
    </w:p>
    <w:p w14:paraId="56551485">
      <w:pPr>
        <w:pStyle w:val="7"/>
        <w:numPr>
          <w:ilvl w:val="0"/>
          <w:numId w:val="90"/>
        </w:numPr>
        <w:ind w:left="454" w:leftChars="0" w:hanging="454" w:firstLineChars="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利润表</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1"/>
        <w:gridCol w:w="1216"/>
        <w:gridCol w:w="1013"/>
        <w:gridCol w:w="1013"/>
        <w:gridCol w:w="1013"/>
        <w:gridCol w:w="1013"/>
        <w:gridCol w:w="1013"/>
        <w:gridCol w:w="1013"/>
        <w:gridCol w:w="1014"/>
        <w:gridCol w:w="1015"/>
        <w:gridCol w:w="1015"/>
        <w:gridCol w:w="1015"/>
      </w:tblGrid>
      <w:tr w14:paraId="70DD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exact"/>
        </w:trPr>
        <w:tc>
          <w:tcPr>
            <w:tcW w:w="1235" w:type="pct"/>
            <w:vMerge w:val="restart"/>
            <w:tcBorders>
              <w:top w:val="single" w:color="000000" w:sz="8" w:space="0"/>
              <w:left w:val="nil"/>
              <w:bottom w:val="single" w:color="000000" w:sz="4" w:space="0"/>
              <w:right w:val="single" w:color="000000" w:sz="4" w:space="0"/>
            </w:tcBorders>
            <w:shd w:val="clear" w:color="auto" w:fill="D9D9D9"/>
            <w:noWrap/>
            <w:vAlign w:val="center"/>
          </w:tcPr>
          <w:p w14:paraId="41B65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w:t>
            </w:r>
          </w:p>
        </w:tc>
        <w:tc>
          <w:tcPr>
            <w:tcW w:w="403"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3ED1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3C88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2F86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DB08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0406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ABC4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5"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0104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6"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DF0F9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6"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BCA9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6"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AC34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6"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544F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0F458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vMerge w:val="continue"/>
            <w:tcBorders>
              <w:top w:val="single" w:color="000000" w:sz="8" w:space="0"/>
              <w:left w:val="nil"/>
              <w:bottom w:val="single" w:color="000000" w:sz="4" w:space="0"/>
              <w:right w:val="single" w:color="000000" w:sz="4" w:space="0"/>
            </w:tcBorders>
            <w:shd w:val="clear" w:color="auto" w:fill="D9D9D9"/>
            <w:noWrap/>
            <w:vAlign w:val="center"/>
          </w:tcPr>
          <w:p w14:paraId="2B1EC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仿宋" w:cs="Times New Roman"/>
                <w:i w:val="0"/>
                <w:iCs w:val="0"/>
                <w:color w:val="000000"/>
                <w:sz w:val="20"/>
                <w:szCs w:val="20"/>
                <w:u w:val="none"/>
              </w:rPr>
            </w:pPr>
          </w:p>
        </w:tc>
        <w:tc>
          <w:tcPr>
            <w:tcW w:w="403"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8ECE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仿宋" w:cs="Times New Roman"/>
                <w:i w:val="0"/>
                <w:iCs w:val="0"/>
                <w:color w:val="000000"/>
                <w:sz w:val="20"/>
                <w:szCs w:val="20"/>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FFDC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BB03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9A7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063C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3FF7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3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A09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33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F480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33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16F0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33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C92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c>
          <w:tcPr>
            <w:tcW w:w="33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EFB7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r>
      <w:tr w14:paraId="67E5E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35ABC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营业收入</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3C8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279369.97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287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6576.22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21F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7093.99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22E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7611.76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F16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7661.24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0A9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7710.71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5A5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7770.07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E2B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7819.55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770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7869.02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8E1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7918.49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0AB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r>
      <w:tr w14:paraId="0E37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630C5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税金及附加</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FE6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6188.68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FC7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158.32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D28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162.46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01B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166.60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0CB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167.38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EED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168.15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15E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169.07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C66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169.85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405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170.62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AE0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171.39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202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r>
      <w:tr w14:paraId="2EB8A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3AB0F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总成本费用</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AFF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232649.71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814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6423.98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094F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6643.72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62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6862.48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342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6833.24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4C2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6802.94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380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6771.56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DD0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6739.04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538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6705.36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474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6670.46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765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6634.31 </w:t>
            </w:r>
          </w:p>
        </w:tc>
      </w:tr>
      <w:tr w14:paraId="6390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5D1FD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营业外收入-增值税返还</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000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20781.71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FDE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525.22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B32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551.32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074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577.42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35E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583.85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251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590.29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F62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598.00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62A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604.44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DE9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610.87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2CFF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617.30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97D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r>
      <w:tr w14:paraId="7232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1AFD7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利润总额</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F9F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61313.30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BEF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74F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839.13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BE5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1160.11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000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1244.48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AC0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1329.90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A34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1427.45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1C5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1515.09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263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1603.91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DF3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1693.94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F01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1785.22 </w:t>
            </w:r>
          </w:p>
        </w:tc>
      </w:tr>
      <w:tr w14:paraId="013B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650FF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弥补以前年度亏损</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9F5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DBA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6223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394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351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51E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8DF0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DE1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338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127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4EB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0BA13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17414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应纳税所得额</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5E77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61313.30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F7A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17C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839.13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CFC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1160.11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345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1244.48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D04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1329.90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710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1427.45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0EE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1515.09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E745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1603.91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32F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1693.94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3C0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1785.22 </w:t>
            </w:r>
          </w:p>
        </w:tc>
      </w:tr>
      <w:tr w14:paraId="49A9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269A5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所得税</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04C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14198.50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EA1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E53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05A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395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155.56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6EC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166.24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682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178.43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07DA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378.77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FF1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400.98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E26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423.48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EE6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446.31 </w:t>
            </w:r>
          </w:p>
        </w:tc>
      </w:tr>
      <w:tr w14:paraId="7F575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6EEBD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净利润</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68C2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47114.80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63B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C44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839.13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5CDB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1160.11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906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1088.92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36D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1163.67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78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1249.02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BDC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1136.32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6B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1202.93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F19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1270.45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EBA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1338.92 </w:t>
            </w:r>
          </w:p>
        </w:tc>
      </w:tr>
      <w:tr w14:paraId="51804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3C2EE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期初未分配利润</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6F0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A1B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AC0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D4F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54A0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08E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502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A72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640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B5B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129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4DA37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37DF6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可供分配的利润</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0F4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1E4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C0E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839.13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DA4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1160.11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4D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1088.92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64E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1163.67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A07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1249.02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318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1136.32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8E1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1202.93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F26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1270.45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05C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1338.92 </w:t>
            </w:r>
          </w:p>
        </w:tc>
      </w:tr>
      <w:tr w14:paraId="6BDD4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22C1A6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提取法定盈余公积金</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2B2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F89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022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83.91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17A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116.01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82B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108.89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6D7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116.37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D59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124.90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BE9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113.63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C98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120.29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B06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127.05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0F2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133.89 </w:t>
            </w:r>
          </w:p>
        </w:tc>
      </w:tr>
      <w:tr w14:paraId="408C5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1965C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累计法定盈余公积金</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F7E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948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51.91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27C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135.83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C69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251.84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E0F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360.73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FD7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477.10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698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602.00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D37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715.63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93D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835.92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799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962.97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D69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1096.86 </w:t>
            </w:r>
          </w:p>
        </w:tc>
      </w:tr>
      <w:tr w14:paraId="05512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1D9DD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可供投资者分配的利润</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F8D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45599.00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2F3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467.22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FE5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755.22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50A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1044.10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C2A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980.03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1B1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1047.30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721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1124.11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A0A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1022.69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D15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1082.64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177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1143.41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147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1205.02 </w:t>
            </w:r>
          </w:p>
        </w:tc>
      </w:tr>
      <w:tr w14:paraId="0095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795BD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应付普通股股利</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BB39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45599.00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B03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467.22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360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755.22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455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1044.10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D69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980.03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FC40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1047.30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22E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1124.11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382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1022.69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B34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1082.64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F66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1143.41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DF3A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1205.02 </w:t>
            </w:r>
          </w:p>
        </w:tc>
      </w:tr>
      <w:tr w14:paraId="6441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auto"/>
            <w:noWrap/>
            <w:vAlign w:val="center"/>
          </w:tcPr>
          <w:p w14:paraId="27EDC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未分配利润</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B1E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581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CC5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6A6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EB6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AA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71A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323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0FA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C6B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3F8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7FD2E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4" w:space="0"/>
              <w:right w:val="single" w:color="000000" w:sz="4" w:space="0"/>
            </w:tcBorders>
            <w:shd w:val="clear" w:color="auto" w:fill="FFFFFF" w:themeFill="background1"/>
            <w:noWrap/>
            <w:vAlign w:val="center"/>
          </w:tcPr>
          <w:p w14:paraId="615A2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息税前利润（利润总额+利息支出）</w:t>
            </w:r>
          </w:p>
        </w:tc>
        <w:tc>
          <w:tcPr>
            <w:tcW w:w="126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383D0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92243.63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0FDE5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2109.18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1D1BD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2401.93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34508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2694.68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D3B84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2749.81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86B5DD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2804.94 </w:t>
            </w:r>
          </w:p>
        </w:tc>
        <w:tc>
          <w:tcPr>
            <w:tcW w:w="104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B07D4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2871.10 </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4E34E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2926.23 </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66950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2981.36 </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82C70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3036.50 </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F0783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r>
      <w:tr w14:paraId="0A152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trPr>
        <w:tc>
          <w:tcPr>
            <w:tcW w:w="1235" w:type="pct"/>
            <w:tcBorders>
              <w:top w:val="single" w:color="000000" w:sz="4" w:space="0"/>
              <w:left w:val="nil"/>
              <w:bottom w:val="single" w:color="000000" w:sz="8" w:space="0"/>
              <w:right w:val="single" w:color="000000" w:sz="4" w:space="0"/>
            </w:tcBorders>
            <w:shd w:val="clear" w:color="auto" w:fill="auto"/>
            <w:noWrap/>
            <w:vAlign w:val="center"/>
          </w:tcPr>
          <w:p w14:paraId="0E227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息税折旧摊销前利润（息税前利润+折旧+摊销）</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638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139219.90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C12901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3345.40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F3D0F5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3638.15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611AC8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3930.90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F1F7B2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3986.03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C7102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4041.16 </w:t>
            </w: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0F4A34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4107.32 </w:t>
            </w:r>
          </w:p>
        </w:tc>
        <w:tc>
          <w:tcPr>
            <w:tcW w:w="10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4EA03B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4162.45 </w:t>
            </w:r>
          </w:p>
        </w:tc>
        <w:tc>
          <w:tcPr>
            <w:tcW w:w="10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986749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4217.58 </w:t>
            </w:r>
          </w:p>
        </w:tc>
        <w:tc>
          <w:tcPr>
            <w:tcW w:w="10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B1939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4272.71 </w:t>
            </w:r>
          </w:p>
        </w:tc>
        <w:tc>
          <w:tcPr>
            <w:tcW w:w="105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D9224C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r>
    </w:tbl>
    <w:p w14:paraId="490D3D8B">
      <w:pPr>
        <w:spacing w:line="240" w:lineRule="auto"/>
        <w:rPr>
          <w:rFonts w:hint="eastAsia" w:ascii="仿宋" w:hAnsi="仿宋" w:cs="仿宋"/>
          <w:color w:val="000000" w:themeColor="text1"/>
          <w14:textFill>
            <w14:solidFill>
              <w14:schemeClr w14:val="tx1"/>
            </w14:solidFill>
          </w14:textFill>
        </w:rPr>
      </w:pPr>
    </w:p>
    <w:tbl>
      <w:tblPr>
        <w:tblStyle w:val="25"/>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9"/>
        <w:gridCol w:w="1039"/>
        <w:gridCol w:w="1040"/>
        <w:gridCol w:w="1040"/>
        <w:gridCol w:w="1040"/>
        <w:gridCol w:w="1040"/>
        <w:gridCol w:w="1040"/>
        <w:gridCol w:w="1040"/>
        <w:gridCol w:w="1040"/>
        <w:gridCol w:w="1040"/>
        <w:gridCol w:w="1040"/>
        <w:gridCol w:w="1040"/>
        <w:gridCol w:w="1040"/>
        <w:gridCol w:w="1040"/>
        <w:gridCol w:w="1040"/>
      </w:tblGrid>
      <w:tr w14:paraId="1674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exact"/>
        </w:trPr>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AFF3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994D9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FC0B9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88766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FBA69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BF41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ACF07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23EA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ABB8E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6E89A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71F3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D9EEC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E797C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4BCBA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3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51414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4BCE6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43C9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9FBC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0D19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800CF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C344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15FA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567AF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D248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9FF98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C0EE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CE825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025FF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F78F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E5C8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w:t>
            </w:r>
          </w:p>
        </w:tc>
        <w:tc>
          <w:tcPr>
            <w:tcW w:w="33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E4A93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25</w:t>
            </w:r>
          </w:p>
        </w:tc>
      </w:tr>
      <w:tr w14:paraId="689A8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164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85C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A0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9BDE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984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7967.96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4DFA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571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760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794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48A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0E2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75F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997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83F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2A0E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r>
      <w:tr w14:paraId="747C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481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32C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434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5AE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E9F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172.16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EC3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2C1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B18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B5D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E5F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12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ADB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BBA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56BE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916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r>
      <w:tr w14:paraId="3536E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699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6596.85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62B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6558.05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9DA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6517.85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81F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6476.20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F6C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6433.06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C8A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6388.36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E8A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6342.05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317A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6294.07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7CE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6244.37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9D1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6192.88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34B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6139.53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DBF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6084.26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591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6027.01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EE9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5967.69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848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5906.24 </w:t>
            </w:r>
          </w:p>
        </w:tc>
      </w:tr>
      <w:tr w14:paraId="260C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EF6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6C7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D94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F09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2DE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623.73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75E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61C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584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521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1AF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8A2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E17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CC6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6E5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DE1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r>
      <w:tr w14:paraId="77CFE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8DD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1822.68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4E9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1861.48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8AF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1901.68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65B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1943.33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C98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1986.47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B72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1075.12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0F2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1121.43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D9B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1169.40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6BB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1219.10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8C1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1270.60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1AB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1323.94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64A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1379.21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C16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1436.47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678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1495.78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DA8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1557.24 </w:t>
            </w:r>
          </w:p>
        </w:tc>
      </w:tr>
      <w:tr w14:paraId="34AA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000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30E1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E12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5AD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350D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87F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0B5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AA4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63D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27F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A5D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E28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A50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A5D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296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1FCF3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DB4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1822.68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644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1861.48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866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1901.68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D6B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1943.33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2BC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1986.47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7BC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1075.12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D72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1121.43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17C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1169.40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BED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1219.10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521A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1270.60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C25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1323.94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EB4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1379.21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7FD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1436.47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36E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1495.78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8F1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1557.24 </w:t>
            </w:r>
          </w:p>
        </w:tc>
      </w:tr>
      <w:tr w14:paraId="799CC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0B4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455.67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285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465.37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AD0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475.42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F8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485.83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C2B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496.62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442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268.78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278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280.36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777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292.35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604B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304.78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76F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317.65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D40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330.99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21D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344.80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16A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359.12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801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373.95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300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389.31 </w:t>
            </w:r>
          </w:p>
        </w:tc>
      </w:tr>
      <w:tr w14:paraId="1C7B7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C56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1367.01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E72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1396.11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331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1426.26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2D8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1457.49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970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1489.85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477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806.34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840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841.07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308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877.05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E2F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914.33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52D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952.95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997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992.96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DE4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1034.41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468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1077.35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DF8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1121.84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879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1167.93 </w:t>
            </w:r>
          </w:p>
        </w:tc>
      </w:tr>
      <w:tr w14:paraId="2433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C89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40E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164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C99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463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A7F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8114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4DD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582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99E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A7FB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435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426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1D8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1C0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50675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6B4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1367.01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B40D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1396.11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20AF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1426.26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575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1457.49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F7B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1489.85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823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806.34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91C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841.07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13E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877.05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961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914.33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1AF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952.95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19C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992.96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502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1034.41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E7D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1077.35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CDF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1121.84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245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1167.93 </w:t>
            </w:r>
          </w:p>
        </w:tc>
      </w:tr>
      <w:tr w14:paraId="48B6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0C7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136.70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A83D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139.61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D27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142.63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AAF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004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5D1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3B3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1BC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D31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65F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F30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3788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56D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BAB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4CF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23694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9A1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1233.56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6C8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1373.17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E94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A59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FFE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73E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1DA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18F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A84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271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A4C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744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FE2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274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4BC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r>
      <w:tr w14:paraId="302E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BE8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1230.31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918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1256.50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A48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1283.63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5B8C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1457.49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AD89">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1489.85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DC2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806.34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125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841.07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752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877.05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36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914.33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D3D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952.95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F2E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992.96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7A1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1034.41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CD3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1077.35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279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1121.84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9F6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1167.93 </w:t>
            </w:r>
          </w:p>
        </w:tc>
      </w:tr>
      <w:tr w14:paraId="5106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7B6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1230.31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64B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1256.50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D9A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1283.63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973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1457.49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F69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1489.85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57F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806.34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2BF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841.07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9A1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877.05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FBC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914.33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6D4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952.95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347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992.96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FE8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1034.41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2F2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1077.35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128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1121.84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DF0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1167.93 </w:t>
            </w:r>
          </w:p>
        </w:tc>
      </w:tr>
      <w:tr w14:paraId="5139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A14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601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2D9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FEF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E25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DF0A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20C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53C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13C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471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513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3C7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2EB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A72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064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4BEB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A46D6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c>
          <w:tcPr>
            <w:tcW w:w="103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F56989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BCD51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288EE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C285E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3091.63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52688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058EB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65E11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01814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20DA1B">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5C7CCA">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7D12A3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A24C1F">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FDA33B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04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3556A6">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r>
      <w:tr w14:paraId="31456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03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379471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c>
          <w:tcPr>
            <w:tcW w:w="103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5D9682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8394005">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4E32E40">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AEFACD2">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4327.84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D5327AD">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818436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6724FF7">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A1031F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466A1BC">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D1C01E8">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B61C65E">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4409BE1">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11685C4">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04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5ADADD3">
            <w:pPr>
              <w:keepNext w:val="0"/>
              <w:keepLines w:val="0"/>
              <w:widowControl/>
              <w:suppressLineNumbers w:val="0"/>
              <w:spacing w:before="0" w:beforeAutospacing="0" w:after="0" w:afterAutospacing="0"/>
              <w:ind w:left="0" w:right="0"/>
              <w:jc w:val="right"/>
              <w:textAlignment w:val="center"/>
              <w:rPr>
                <w:rFonts w:hint="default"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r>
    </w:tbl>
    <w:p w14:paraId="5EC15763">
      <w:pPr>
        <w:pStyle w:val="2"/>
        <w:rPr>
          <w:rFonts w:hint="eastAsia"/>
        </w:rPr>
      </w:pPr>
    </w:p>
    <w:tbl>
      <w:tblPr>
        <w:tblStyle w:val="2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1200"/>
        <w:gridCol w:w="1201"/>
        <w:gridCol w:w="1201"/>
        <w:gridCol w:w="1201"/>
        <w:gridCol w:w="1201"/>
        <w:gridCol w:w="1201"/>
        <w:gridCol w:w="1201"/>
        <w:gridCol w:w="1201"/>
        <w:gridCol w:w="1201"/>
        <w:gridCol w:w="1201"/>
        <w:gridCol w:w="1201"/>
        <w:gridCol w:w="1201"/>
      </w:tblGrid>
      <w:tr w14:paraId="134F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exact"/>
        </w:trPr>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13D2B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31F2F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9551A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27091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A47B7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7E13E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CA9139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E7FBE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80A35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7C08B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49463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EDE4F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84"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06DF7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r>
      <w:tr w14:paraId="163F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A3C6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AADD0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BA711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EB56C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AFD8A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CD66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744D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BAD9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D2D05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C899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A8B2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A98FA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38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8EF45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r>
      <w:tr w14:paraId="14CCD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A98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78AC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EA2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648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E41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307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0D4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C6B7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FD8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B7A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82B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A0E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725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7110.05 </w:t>
            </w:r>
          </w:p>
        </w:tc>
      </w:tr>
      <w:tr w14:paraId="3223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486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FEE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2D7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A89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DEA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045A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5FD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8A8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71D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C87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E60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FB1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724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158.78 </w:t>
            </w:r>
          </w:p>
        </w:tc>
      </w:tr>
      <w:tr w14:paraId="4E9F3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435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5842.57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F71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5776.61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AC8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5708.28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AF8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5637.49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8C8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5564.15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47F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5488.17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82D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5409.45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BB9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D66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1C0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455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74E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17D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5327.90 </w:t>
            </w:r>
          </w:p>
        </w:tc>
      </w:tr>
      <w:tr w14:paraId="5783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B30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4DA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021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FB6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2C4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197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E26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32A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15E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0AE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DCF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16B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71B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512.20 </w:t>
            </w:r>
          </w:p>
        </w:tc>
      </w:tr>
      <w:tr w14:paraId="44D13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FFF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1620.90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383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1686.86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BD2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1755.19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735D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1825.98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F73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1899.32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75A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1975.31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29C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2054.02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6D5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445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DED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BD58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12B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209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r>
      <w:tr w14:paraId="6C19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4FC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37A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952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7AC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223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511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BEC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BF0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0C7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F41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371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98E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D49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308C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F69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1620.90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1C6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1686.86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059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1755.19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3A7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1825.98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D01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1899.32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3940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1975.31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BBE4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2054.02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304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894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831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468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B9C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5B4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r>
      <w:tr w14:paraId="2570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AEF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405.23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634D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421.72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984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438.80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D5D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456.50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660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474.83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736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493.83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4D34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513.51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7E2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C56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E53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D08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682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5F9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533.89 </w:t>
            </w:r>
          </w:p>
        </w:tc>
      </w:tr>
      <w:tr w14:paraId="2D36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E7F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1215.68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11D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1265.15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89B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1316.39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718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1369.49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2E2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1424.49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AB6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1481.48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AC25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1540.52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7D5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2E3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809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94D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67D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4A7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r>
      <w:tr w14:paraId="4F29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527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921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B1A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1C6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33A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B56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F42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FE4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72A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43B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E61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774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941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0EA1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03B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1215.68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0C7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1265.15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AE8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1316.39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F89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1369.49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C52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1424.49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6A9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1481.48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DA8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1540.52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A4E6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CF2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A71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2EC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879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4C3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r>
      <w:tr w14:paraId="6386D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CC8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E1F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D3C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BE2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0FA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C31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28B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4BC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546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AC8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BBF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51E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B14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1BD09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DA9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9C1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E8A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B0E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903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32D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9CE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5B8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A83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CB5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6CA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3F1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2752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1515.80 </w:t>
            </w:r>
          </w:p>
        </w:tc>
      </w:tr>
      <w:tr w14:paraId="17A35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110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1215.68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AB2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1265.15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E8A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1316.39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F51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1369.49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8CF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1424.49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902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1481.48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9D9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1540.52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CFE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F7F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96B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DBD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806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AA7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r>
      <w:tr w14:paraId="17C4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008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1215.68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044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1265.15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768A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1316.39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145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1369.49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6D4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1424.49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E31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1481.48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F7AB">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1540.52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61F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4ED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42C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1BC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8AF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9CA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1601.68 </w:t>
            </w:r>
          </w:p>
        </w:tc>
      </w:tr>
      <w:tr w14:paraId="1B05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541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937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148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28F0">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57B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51F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EF0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891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7ED7">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086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179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6FF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2F7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0.00 </w:t>
            </w:r>
          </w:p>
        </w:tc>
      </w:tr>
      <w:tr w14:paraId="1A963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2AEE5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D584B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E5F14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5D2A0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929821">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E9944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28722D">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A6144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E242BE4">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365C0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EDD29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835CB8">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c>
          <w:tcPr>
            <w:tcW w:w="120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0D802A">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2135.57 </w:t>
            </w:r>
          </w:p>
        </w:tc>
      </w:tr>
      <w:tr w14:paraId="39226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12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CB32EF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0B6E5DE">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CD3766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DD5A44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9859F76">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5FA3E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3FBC722">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603469F">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7C78EE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90B5765">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839E283">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BE7814C">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c>
          <w:tcPr>
            <w:tcW w:w="12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DA952B9">
            <w:pPr>
              <w:keepNext w:val="0"/>
              <w:keepLines w:val="0"/>
              <w:widowControl/>
              <w:suppressLineNumbers w:val="0"/>
              <w:spacing w:before="0" w:beforeAutospacing="0" w:after="0" w:afterAutospacing="0"/>
              <w:ind w:left="0" w:right="0"/>
              <w:jc w:val="right"/>
              <w:textAlignment w:val="center"/>
              <w:rPr>
                <w:rFonts w:hint="eastAsia" w:ascii="仿宋" w:hAnsi="仿宋" w:eastAsia="仿宋" w:cs="仿宋"/>
                <w:i w:val="0"/>
                <w:iCs w:val="0"/>
                <w:color w:val="000000"/>
                <w:kern w:val="0"/>
                <w:sz w:val="20"/>
                <w:szCs w:val="20"/>
                <w:u w:val="none"/>
                <w:lang w:val="en-US" w:eastAsia="zh-CN" w:bidi="ar"/>
              </w:rPr>
            </w:pPr>
            <w:r>
              <w:rPr>
                <w:rFonts w:hint="default" w:ascii="仿宋" w:hAnsi="仿宋" w:eastAsia="仿宋" w:cs="仿宋"/>
                <w:i w:val="0"/>
                <w:iCs w:val="0"/>
                <w:color w:val="000000"/>
                <w:kern w:val="0"/>
                <w:sz w:val="20"/>
                <w:szCs w:val="20"/>
                <w:u w:val="none"/>
                <w:lang w:val="en-US" w:eastAsia="zh-CN" w:bidi="ar"/>
              </w:rPr>
              <w:t xml:space="preserve">3371.79 </w:t>
            </w:r>
          </w:p>
        </w:tc>
      </w:tr>
    </w:tbl>
    <w:p w14:paraId="41FE75E7">
      <w:pPr>
        <w:spacing w:line="240" w:lineRule="auto"/>
        <w:rPr>
          <w:rFonts w:hint="eastAsia" w:ascii="仿宋" w:hAnsi="仿宋" w:cs="仿宋"/>
          <w:color w:val="000000" w:themeColor="text1"/>
          <w14:textFill>
            <w14:solidFill>
              <w14:schemeClr w14:val="tx1"/>
            </w14:solidFill>
          </w14:textFill>
        </w:rPr>
      </w:pPr>
    </w:p>
    <w:p w14:paraId="2EBF3311">
      <w:pPr>
        <w:spacing w:line="240" w:lineRule="auto"/>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br w:type="page"/>
      </w:r>
    </w:p>
    <w:p w14:paraId="752EAB1B">
      <w:pPr>
        <w:pStyle w:val="7"/>
        <w:numPr>
          <w:ilvl w:val="0"/>
          <w:numId w:val="90"/>
        </w:numPr>
        <w:ind w:left="454" w:leftChars="0" w:hanging="454" w:firstLineChars="0"/>
        <w:rPr>
          <w:rFonts w:hint="eastAsia"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财务计划现金流量表</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661"/>
        <w:gridCol w:w="1133"/>
        <w:gridCol w:w="1100"/>
        <w:gridCol w:w="1100"/>
        <w:gridCol w:w="1000"/>
        <w:gridCol w:w="1000"/>
        <w:gridCol w:w="1000"/>
        <w:gridCol w:w="1000"/>
        <w:gridCol w:w="1000"/>
        <w:gridCol w:w="1000"/>
        <w:gridCol w:w="1000"/>
        <w:gridCol w:w="1000"/>
        <w:gridCol w:w="1000"/>
      </w:tblGrid>
      <w:tr w14:paraId="6411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exact"/>
        </w:trPr>
        <w:tc>
          <w:tcPr>
            <w:tcW w:w="211" w:type="pct"/>
            <w:vMerge w:val="restart"/>
            <w:tcBorders>
              <w:top w:val="single" w:color="000000" w:sz="8" w:space="0"/>
              <w:left w:val="nil"/>
              <w:bottom w:val="single" w:color="000000" w:sz="4" w:space="0"/>
              <w:right w:val="single" w:color="000000" w:sz="4" w:space="0"/>
            </w:tcBorders>
            <w:shd w:val="clear" w:color="auto" w:fill="D9D9D9"/>
            <w:noWrap/>
            <w:vAlign w:val="center"/>
          </w:tcPr>
          <w:p w14:paraId="39D83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序号</w:t>
            </w:r>
          </w:p>
        </w:tc>
        <w:tc>
          <w:tcPr>
            <w:tcW w:w="966"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2C74E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w:t>
            </w:r>
          </w:p>
        </w:tc>
        <w:tc>
          <w:tcPr>
            <w:tcW w:w="427" w:type="pct"/>
            <w:vMerge w:val="restar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8BAA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合计</w:t>
            </w:r>
          </w:p>
        </w:tc>
        <w:tc>
          <w:tcPr>
            <w:tcW w:w="31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6AFA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建设期</w:t>
            </w:r>
          </w:p>
        </w:tc>
        <w:tc>
          <w:tcPr>
            <w:tcW w:w="31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A012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C12B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C199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219E9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30FF9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E4F8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BDA5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2ACEA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CB55C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07"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061D1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2B33E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vMerge w:val="continue"/>
            <w:tcBorders>
              <w:top w:val="single" w:color="000000" w:sz="8" w:space="0"/>
              <w:left w:val="nil"/>
              <w:bottom w:val="single" w:color="000000" w:sz="4" w:space="0"/>
              <w:right w:val="single" w:color="000000" w:sz="4" w:space="0"/>
            </w:tcBorders>
            <w:shd w:val="clear" w:color="auto" w:fill="D9D9D9"/>
            <w:noWrap/>
            <w:vAlign w:val="center"/>
          </w:tcPr>
          <w:p w14:paraId="2EA81A53">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966"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AF7BE7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427" w:type="pct"/>
            <w:vMerge w:val="continue"/>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EE1E0E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0"/>
                <w:szCs w:val="20"/>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CC199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1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20E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71DC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E55CB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4B8EF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54E1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9F60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3E40F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6</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D3EE0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7</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A85B6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8</w:t>
            </w:r>
          </w:p>
        </w:tc>
        <w:tc>
          <w:tcPr>
            <w:tcW w:w="3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F7BF7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9</w:t>
            </w:r>
          </w:p>
        </w:tc>
      </w:tr>
      <w:tr w14:paraId="2630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0AD4C67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57A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经营活动净现金流量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C7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129522.51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D50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50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8BC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3643.97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DD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3941.99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EF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4240.00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EC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4146.00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B1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4196.89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BA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4258.57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69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4119.79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AC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4159.15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59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4198.21 </w:t>
            </w:r>
          </w:p>
        </w:tc>
      </w:tr>
      <w:tr w14:paraId="348A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4D5E673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355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68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324111.30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D3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7A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7D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7694.10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88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8272.50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AB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8850.90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16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8913.24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0D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8975.57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86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9050.38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71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9112.71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5F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9175.05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BF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9237.38 </w:t>
            </w:r>
          </w:p>
        </w:tc>
      </w:tr>
      <w:tr w14:paraId="36EE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4410D88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E100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营业收入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3E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279369.97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FD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CB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A7F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6576.22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C0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7093.99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D5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7611.76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B1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7661.24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ED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7710.71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FE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7770.07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89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7819.55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DA4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7869.02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70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7918.49 </w:t>
            </w:r>
          </w:p>
        </w:tc>
      </w:tr>
      <w:tr w14:paraId="3F2B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A49D6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1C7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增值税销项税额</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E5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23959.61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AA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CA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61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592.66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18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627.19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EE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661.72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3F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668.15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51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674.58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0B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682.30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DC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688.73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F0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695.16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9F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701.59 </w:t>
            </w:r>
          </w:p>
        </w:tc>
      </w:tr>
      <w:tr w14:paraId="70E9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F04081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1.1.3</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82F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处置费</w:t>
            </w:r>
            <w:r>
              <w:rPr>
                <w:rFonts w:hint="default" w:ascii="Times New Roman" w:hAnsi="Times New Roman" w:eastAsia="仿宋" w:cs="Times New Roman"/>
                <w:i w:val="0"/>
                <w:iCs w:val="0"/>
                <w:color w:val="000000"/>
                <w:kern w:val="0"/>
                <w:sz w:val="20"/>
                <w:szCs w:val="20"/>
                <w:u w:val="none"/>
                <w:lang w:val="en-US" w:eastAsia="zh-CN" w:bidi="ar"/>
              </w:rPr>
              <w:t>收入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14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20781.71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6E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D2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3D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525.22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FA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551.32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38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577.42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64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583.85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6B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590.29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D1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598.00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C74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604.44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E3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610.87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2C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617.30 </w:t>
            </w:r>
          </w:p>
        </w:tc>
      </w:tr>
      <w:tr w14:paraId="1694F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238845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1.1.4</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FADB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其他流入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12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27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5C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80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0FD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33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8D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09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0B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1E4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94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A2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42988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236790F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1.1.5</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4508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资金回收</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CC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07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4F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DC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869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07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0C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F4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CB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27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37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30E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28B52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FC0DC8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A4D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5C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194588.78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25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6A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9D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4050.13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A8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4330.52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1B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4610.90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8B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4767.24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6D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4778.69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47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4791.80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27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4992.92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90A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5015.89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23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5039.17 </w:t>
            </w:r>
          </w:p>
        </w:tc>
      </w:tr>
      <w:tr w14:paraId="0E401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42F282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0C4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经营成本</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0C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154743.11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8B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74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1B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3597.73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784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3844.71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36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F0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B2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98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62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52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A6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r>
      <w:tr w14:paraId="28C21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4253D3A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02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增值税进项税额</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C1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13311.55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33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F0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22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294.08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D8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323.35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3F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24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282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7D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F4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66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42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r>
      <w:tr w14:paraId="4C585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AB142E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1.2.3</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160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税金及附加</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E1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6188.68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17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63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3F2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158.32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A05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162.46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D1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166.60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CD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167.38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00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168.15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3B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169.07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75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169.85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3A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170.62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27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171.39 </w:t>
            </w:r>
          </w:p>
        </w:tc>
      </w:tr>
      <w:tr w14:paraId="69C2A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063DA9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1.2.4</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5C0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增值税</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7A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6146.94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26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BB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EB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A2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37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CB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DA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36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AB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F8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A6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55DB8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2C20A2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1.2.5</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5A7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所得税</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CCF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14198.50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266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50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71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4A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C1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F8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155.56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9F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166.24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C2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178.43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01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378.77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E8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400.98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42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423.48 </w:t>
            </w:r>
          </w:p>
        </w:tc>
      </w:tr>
      <w:tr w14:paraId="5B2D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7FE97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1.2.6</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0D48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5F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E7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25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0D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23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B3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4E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87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EB3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7E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00A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9D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6B062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2B006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3E6A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投资活动净现金流量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34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(53788.91)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81D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(21418.19)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AA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(32370.72)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C1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06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35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98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94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90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44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C2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CE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7D8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70533A7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71C8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4C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74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9E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86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9A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80A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07E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D6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AB5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19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61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1D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5F08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958675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7C0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C3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53788.91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8C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21418.19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7E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32370.72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99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83D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C8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F2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7B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66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76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6B1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A1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656B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2AEC9F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D21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建设投资</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C2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53545.47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9B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21418.19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DF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32127.28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A5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29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04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84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960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55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AD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56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7A0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61328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A8724F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2.2.2</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BCBA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维持运营投资</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61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70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CD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E51C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7B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22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F9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FB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FD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CE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95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F4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1D031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B4351D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2.2.3</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A14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流动资金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EB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243.44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06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FA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243.44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2A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F0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6E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01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78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EE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D7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76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58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E84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E5A774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2.2.4</w:t>
            </w:r>
          </w:p>
        </w:tc>
        <w:tc>
          <w:tcPr>
            <w:tcW w:w="9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2728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CD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14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33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41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FD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7E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23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E2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55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24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97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6B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6903D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23CDE90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2F4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筹资活动净现金流量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4B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(66908.25)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90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21418.19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4D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32370.72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39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(2814.04)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6B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(3102.04)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52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(3390.91)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19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(3326.84)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84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(3394.12)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6E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(3470.93)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0C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(3369.50)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7C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(3429.45)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52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(3490.22)</w:t>
            </w:r>
          </w:p>
        </w:tc>
      </w:tr>
      <w:tr w14:paraId="487D4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7F9ECF7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421E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C4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55209.79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DE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21731.12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4D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33478.67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3D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67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16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D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1C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EC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BE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AF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6CE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27556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1F3B70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C37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项目资本金流入</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15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11041.96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FC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4346.22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A1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6695.73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C6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8F2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AB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6C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30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15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4F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4D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A9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4280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1A8EB20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FB1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建设投资借款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A4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44167.83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87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17384.89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4F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26782.94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5E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A5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F7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08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EA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A2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5D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AD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26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64F2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349BE0A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3.1.3</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5C5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流动资金借款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6B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DA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9F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B57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45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6D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8F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E62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FE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26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43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89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7EAD0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01C12B9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3.1.4</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E75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债券</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72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20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7D5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B8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DF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A5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7E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4C3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CF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F7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9FF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00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26F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73C442B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3.1.5</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555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短期借款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A93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93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C1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25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FB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995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CE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1C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31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90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78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658B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BA8E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1F5CD4F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3.1.6</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08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流动资金回收</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02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E6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1F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0E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14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4B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3E8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38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4B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B6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02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C1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6C9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5AF0A39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FB6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现金流出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32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122118.04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BF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312.93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36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1107.95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C4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2814.04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B0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3102.04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4D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3390.91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21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3326.84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BE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3394.12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64C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3470.93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D2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3369.50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07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3429.45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7F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3490.22 </w:t>
            </w:r>
          </w:p>
        </w:tc>
      </w:tr>
      <w:tr w14:paraId="70BB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5F745D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3.2.1</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CCA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各种利息支出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12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32351.21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288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312.93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21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1107.95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6F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1590.04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EBB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1562.80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36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1534.57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EB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1505.33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32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1475.04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16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1443.65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BC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1411.14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7D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1377.46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CC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1342.56 </w:t>
            </w:r>
          </w:p>
        </w:tc>
      </w:tr>
      <w:tr w14:paraId="5FB1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97FBF1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3.2.2</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354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偿还债务本金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E78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44167.83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A7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075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CC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756.78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6C2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784.02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62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812.24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77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841.49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73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871.78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28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903.16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92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935.68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89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969.36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DE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1004.26 </w:t>
            </w:r>
          </w:p>
        </w:tc>
      </w:tr>
      <w:tr w14:paraId="78864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6C587C8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3.2.3</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6F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应付利润（股利分配）</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1C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45599.00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E3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71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96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467.22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7A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755.22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2E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1044.10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2A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980.03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1F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1047.30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13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1124.11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B3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1022.69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48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1082.64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23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1143.41 </w:t>
            </w:r>
          </w:p>
        </w:tc>
      </w:tr>
      <w:tr w14:paraId="1F06D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7D54AA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3.2.4</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A24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其他流出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AF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5A9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C9D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48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BBC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4F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DD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3E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20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FD0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390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21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6A857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4" w:space="0"/>
              <w:right w:val="single" w:color="000000" w:sz="4" w:space="0"/>
            </w:tcBorders>
            <w:shd w:val="clear" w:color="auto" w:fill="auto"/>
            <w:noWrap/>
            <w:vAlign w:val="center"/>
          </w:tcPr>
          <w:p w14:paraId="7BB6E2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C1B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净现金流量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19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8825.35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BB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57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F1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829.93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451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839.95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E0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849.09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A9D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819.16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82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802.77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42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787.64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31B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750.29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3C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729.70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7D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707.98 </w:t>
            </w:r>
          </w:p>
        </w:tc>
      </w:tr>
      <w:tr w14:paraId="038B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exact"/>
        </w:trPr>
        <w:tc>
          <w:tcPr>
            <w:tcW w:w="211" w:type="pct"/>
            <w:tcBorders>
              <w:top w:val="single" w:color="000000" w:sz="4" w:space="0"/>
              <w:left w:val="nil"/>
              <w:bottom w:val="single" w:color="000000" w:sz="8" w:space="0"/>
              <w:right w:val="single" w:color="000000" w:sz="4" w:space="0"/>
            </w:tcBorders>
            <w:shd w:val="clear" w:color="auto" w:fill="auto"/>
            <w:noWrap/>
            <w:vAlign w:val="center"/>
          </w:tcPr>
          <w:p w14:paraId="33BD98A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96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1303139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累计盈余资金</w:t>
            </w:r>
          </w:p>
        </w:tc>
        <w:tc>
          <w:tcPr>
            <w:tcW w:w="113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C45FB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11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A49E4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1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A54D4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F566B5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829.93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77524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1669.88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4CABF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2518.97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1FEC8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3338.13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A494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4140.90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105E50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4928.54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18332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5678.83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6A4FE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6408.52 </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73E2E6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7116.51 </w:t>
            </w:r>
          </w:p>
        </w:tc>
      </w:tr>
    </w:tbl>
    <w:p w14:paraId="52CA45FE">
      <w:pPr>
        <w:spacing w:line="240" w:lineRule="auto"/>
        <w:rPr>
          <w:rFonts w:hint="eastAsia" w:ascii="仿宋" w:hAnsi="仿宋" w:cs="仿宋"/>
          <w:color w:val="000000" w:themeColor="text1"/>
          <w:sz w:val="18"/>
          <w:szCs w:val="18"/>
          <w14:textFill>
            <w14:solidFill>
              <w14:schemeClr w14:val="tx1"/>
            </w14:solidFill>
          </w14:textFill>
        </w:rPr>
      </w:pPr>
    </w:p>
    <w:p w14:paraId="014DCBDC">
      <w:pPr>
        <w:spacing w:line="240" w:lineRule="auto"/>
        <w:rPr>
          <w:rFonts w:hint="eastAsia" w:ascii="仿宋" w:hAnsi="仿宋" w:cs="仿宋"/>
          <w:color w:val="000000" w:themeColor="text1"/>
          <w:sz w:val="18"/>
          <w:szCs w:val="18"/>
          <w14:textFill>
            <w14:solidFill>
              <w14:schemeClr w14:val="tx1"/>
            </w14:solidFill>
          </w14:textFill>
        </w:rPr>
      </w:pPr>
    </w:p>
    <w:p w14:paraId="7526C443">
      <w:pPr>
        <w:spacing w:line="240" w:lineRule="auto"/>
        <w:rPr>
          <w:rFonts w:hint="eastAsia" w:ascii="仿宋" w:hAnsi="仿宋" w:cs="仿宋"/>
          <w:color w:val="000000" w:themeColor="text1"/>
          <w:sz w:val="18"/>
          <w:szCs w:val="18"/>
          <w14:textFill>
            <w14:solidFill>
              <w14:schemeClr w14:val="tx1"/>
            </w14:solidFill>
          </w14:textFill>
        </w:rPr>
      </w:pPr>
    </w:p>
    <w:p w14:paraId="237F3E40">
      <w:pPr>
        <w:spacing w:line="240" w:lineRule="auto"/>
        <w:rPr>
          <w:rFonts w:hint="eastAsia" w:ascii="仿宋" w:hAnsi="仿宋" w:cs="仿宋"/>
          <w:color w:val="000000" w:themeColor="text1"/>
          <w:sz w:val="18"/>
          <w:szCs w:val="18"/>
          <w14:textFill>
            <w14:solidFill>
              <w14:schemeClr w14:val="tx1"/>
            </w14:solidFill>
          </w14:textFill>
        </w:rPr>
      </w:pP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116"/>
        <w:gridCol w:w="884"/>
        <w:gridCol w:w="231"/>
        <w:gridCol w:w="769"/>
        <w:gridCol w:w="346"/>
        <w:gridCol w:w="668"/>
        <w:gridCol w:w="446"/>
        <w:gridCol w:w="568"/>
        <w:gridCol w:w="546"/>
        <w:gridCol w:w="469"/>
        <w:gridCol w:w="647"/>
        <w:gridCol w:w="369"/>
        <w:gridCol w:w="747"/>
        <w:gridCol w:w="269"/>
        <w:gridCol w:w="847"/>
        <w:gridCol w:w="169"/>
        <w:gridCol w:w="947"/>
        <w:gridCol w:w="187"/>
        <w:gridCol w:w="928"/>
        <w:gridCol w:w="159"/>
        <w:gridCol w:w="956"/>
        <w:gridCol w:w="131"/>
        <w:gridCol w:w="984"/>
        <w:gridCol w:w="44"/>
        <w:gridCol w:w="1072"/>
        <w:gridCol w:w="1103"/>
        <w:gridCol w:w="12"/>
      </w:tblGrid>
      <w:tr w14:paraId="3878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pct"/>
          <w:trHeight w:val="400" w:hRule="atLeast"/>
        </w:trPr>
        <w:tc>
          <w:tcPr>
            <w:tcW w:w="320"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12B82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0"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4CC8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0"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402C9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AA0B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E70B2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333A8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AA8C2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53460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5"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C3F86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63"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ABD6C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8"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E5ACB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8"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9A0D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29"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5B96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4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DDC3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c>
          <w:tcPr>
            <w:tcW w:w="353" w:type="pct"/>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D3F2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运营期</w:t>
            </w:r>
          </w:p>
        </w:tc>
      </w:tr>
      <w:tr w14:paraId="0C1FC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C81F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10</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D16E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11</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9C707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12</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EC4D3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13</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2CC42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14</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B849C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3CA9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16</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6E6F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17</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52C3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18</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1288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19</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6964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ABA4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21</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998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22</w:t>
            </w:r>
          </w:p>
        </w:tc>
        <w:tc>
          <w:tcPr>
            <w:tcW w:w="34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FA0C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23</w:t>
            </w:r>
          </w:p>
        </w:tc>
        <w:tc>
          <w:tcPr>
            <w:tcW w:w="353"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07AD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0"/>
                <w:szCs w:val="20"/>
                <w:u w:val="none"/>
              </w:rPr>
            </w:pPr>
            <w:r>
              <w:rPr>
                <w:rFonts w:hint="default" w:ascii="Times New Roman" w:hAnsi="Times New Roman" w:eastAsia="仿宋" w:cs="Times New Roman"/>
                <w:i w:val="0"/>
                <w:iCs w:val="0"/>
                <w:color w:val="000000"/>
                <w:kern w:val="0"/>
                <w:sz w:val="20"/>
                <w:szCs w:val="20"/>
                <w:u w:val="none"/>
                <w:lang w:val="en-US" w:eastAsia="zh-CN" w:bidi="ar"/>
              </w:rPr>
              <w:t>24</w:t>
            </w:r>
          </w:p>
        </w:tc>
      </w:tr>
      <w:tr w14:paraId="09D27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85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4236.95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6B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4227.59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BC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4217.88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59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4207.83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55C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4015.15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C0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3831.23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50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3103.01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F3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3091.43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AA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3079.44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B6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3067.01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CF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3054.14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D1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3040.80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30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3026.99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07F7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3012.67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AE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2997.84 </w:t>
            </w:r>
          </w:p>
        </w:tc>
      </w:tr>
      <w:tr w14:paraId="51B5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8A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D4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47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AF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A61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1A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9299.72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0B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B9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EB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D6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0A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FC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27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62C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350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r>
      <w:tr w14:paraId="478E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E5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7B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98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F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9BA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51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7967.96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40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B2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98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E9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EF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14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5C68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16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8B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r>
      <w:tr w14:paraId="7AF8B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6F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A22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10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02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50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06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708.02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4B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00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AA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F5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A5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AC1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6A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DA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AB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r>
      <w:tr w14:paraId="63684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C1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33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A9F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44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D3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FA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623.73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A6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16B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1AA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C7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87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F4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90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8A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E5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r>
      <w:tr w14:paraId="2AF2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6C6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AC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7D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09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DF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A3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1F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23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5C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5B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F4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EC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D0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A0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B7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7D50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E6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10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2C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44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0C6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4B4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8C8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50A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0F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B6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8E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E1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75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69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8E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E161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AA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5062.77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27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5072.13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74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5081.83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20B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5091.88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07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5284.56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37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5468.49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9A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5115.74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9A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5127.31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2B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5139.31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EB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5151.73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E1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5164.61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F8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5177.94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ED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5191.76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C1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5206.08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13D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5220.90 </w:t>
            </w:r>
          </w:p>
        </w:tc>
      </w:tr>
      <w:tr w14:paraId="1082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A2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68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47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DC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E3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D1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1B3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E6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D88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5F5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2FB6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354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4A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CF3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BB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r>
      <w:tr w14:paraId="22A5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A89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5B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B06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3B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33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A7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5E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57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44C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FB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2BD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58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8B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26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CB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r>
      <w:tr w14:paraId="062ED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45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F8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02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8A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A1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DC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172.16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0BA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0E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28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5E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06E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BD7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C0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0B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DA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r>
      <w:tr w14:paraId="4DF5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A00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77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86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7F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74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182.27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10F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355.41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D5F6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1E6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0F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AC6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BD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0D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CDC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50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AA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r>
      <w:tr w14:paraId="1969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E5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446.31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EFA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455.67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D63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465.37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D89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475.42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69A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485.83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338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496.62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7D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268.78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41D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280.36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1B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292.35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36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304.78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56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317.65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3B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330.99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B2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344.80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0E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359.12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53F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373.95 </w:t>
            </w:r>
          </w:p>
        </w:tc>
      </w:tr>
      <w:tr w14:paraId="653D7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21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6040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58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0B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BB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18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79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82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85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0B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3D15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BBD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C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AD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56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731D7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2D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98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36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7AD5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B3F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1D7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740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D2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C89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5D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A0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29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6EB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E3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903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0320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FA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80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36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EA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30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D93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79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D4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A7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7D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63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26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A765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AF7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17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481E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52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978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8C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291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FE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324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EE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BF7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7D9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BC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11C6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08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89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AD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55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7A83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078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D0E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42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85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C5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9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B07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94F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8B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E3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82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81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D7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10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33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639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8A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81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CB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8BD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7D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15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BB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97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DC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D31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75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A4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12A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6E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339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59A93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CD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5C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A9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EAB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85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0A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1E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86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16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440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D9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6F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FF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E06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8B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169E5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9C5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F2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81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E1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A3D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D7B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0C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45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629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CBE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19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7F7E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E52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29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252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1627E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E65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(3551.84)</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B0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(3577.12)</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EA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(3603.32)</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061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(3630.45)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77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(3804.31)</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8B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(3836.67)</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17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(3153.15)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8D1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(3187.89)</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6FC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(3223.87)</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3AE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(3261.15)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BED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(3299.77)</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B5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(3339.78)</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A5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(3381.23)</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573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(3424.17)</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FE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(3468.66)</w:t>
            </w:r>
          </w:p>
        </w:tc>
      </w:tr>
      <w:tr w14:paraId="4C1B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20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C3E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501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1C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33B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F2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67E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C0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2A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E6D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F83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A35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C1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EEF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5F1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3D648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066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100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25F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25A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16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31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536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5D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BC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7D6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CA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3C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A1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C1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C5C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7AED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E35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473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2A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275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6C3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CD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0A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29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3F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65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B9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7F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86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852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9EA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D91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10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C14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2E2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32A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6C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E6E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37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2E1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C7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5AF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40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B9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64A3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9B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890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15F9F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10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967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14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93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7BA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EA9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69D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BF9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47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C2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70E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84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C88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0F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5BF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255AA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E21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B90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3C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E54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C21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02A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A71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3C2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793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6A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81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70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7C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4C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14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4DE0F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A39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CD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2B85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CE9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6D5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3D1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4FC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4CE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78E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16B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FF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4F8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7F7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B23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CC3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039B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17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3551.84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D9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3577.12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9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3603.32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399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3630.45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412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3804.31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A5B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3836.67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474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3153.15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A1B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3187.89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51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3223.87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A94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3261.15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91C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3299.77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50D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3339.78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14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3381.23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5F2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3424.17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C73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3468.66 </w:t>
            </w:r>
          </w:p>
        </w:tc>
      </w:tr>
      <w:tr w14:paraId="695E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09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1306.41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F23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1268.95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F3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1230.15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781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1189.95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88A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1148.30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3E9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1105.15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C1D0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1060.45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FE5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1014.15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975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966.17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1AB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916.47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B12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864.97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CCB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811.63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F1F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756.36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86C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699.10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97C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639.79 </w:t>
            </w:r>
          </w:p>
        </w:tc>
      </w:tr>
      <w:tr w14:paraId="77DB4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EE2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1040.41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818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1077.87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524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1116.67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54D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1156.87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7FB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1198.52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94F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1241.66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A00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1286.36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649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1332.67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AFC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1380.65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75D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1430.35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EBE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1481.84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48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1535.19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9B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1590.46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B27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1647.71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4B56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1707.03 </w:t>
            </w:r>
          </w:p>
        </w:tc>
      </w:tr>
      <w:tr w14:paraId="0FE3B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4C2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1205.02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002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1230.31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53F7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1256.50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0D4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1283.63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25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1457.49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6D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1489.85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424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806.34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25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841.07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DE3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877.05 </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67A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914.33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731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952.95 </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FB7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992.96 </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AD4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1034.41 </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0B2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1077.35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C90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1121.84 </w:t>
            </w:r>
          </w:p>
        </w:tc>
      </w:tr>
      <w:tr w14:paraId="753B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F5C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7BF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AEC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34C6">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93E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52B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EA6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E14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E97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D4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B15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F38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8D0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AF3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A6A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p>
        </w:tc>
      </w:tr>
      <w:tr w14:paraId="3ACA0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E24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685.11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A76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650.46 </w:t>
            </w:r>
          </w:p>
        </w:tc>
        <w:tc>
          <w:tcPr>
            <w:tcW w:w="3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C56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614.57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3F6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577.38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07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210.84 </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1008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(5.45)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62A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(50.15)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ED17">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(96.45)</w:t>
            </w:r>
          </w:p>
        </w:tc>
        <w:tc>
          <w:tcPr>
            <w:tcW w:w="3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976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(144.43)</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8E8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(194.13)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5E1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(245.63)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AB4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(298.97)</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A888">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(354.24)</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35C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(411.50)</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0905">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(470.81)</w:t>
            </w:r>
          </w:p>
        </w:tc>
      </w:tr>
      <w:tr w14:paraId="6C90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pct"/>
          <w:trHeight w:val="400" w:hRule="atLeast"/>
        </w:trPr>
        <w:tc>
          <w:tcPr>
            <w:tcW w:w="320"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F08DD5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7801.61 </w:t>
            </w:r>
          </w:p>
        </w:tc>
        <w:tc>
          <w:tcPr>
            <w:tcW w:w="320"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2945B283">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8452.08 </w:t>
            </w:r>
          </w:p>
        </w:tc>
        <w:tc>
          <w:tcPr>
            <w:tcW w:w="320"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AF0433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9066.65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C81CE1">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9644.03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702927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9854.87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6E2E67E">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9849.42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2BAD491B">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9799.28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E5F7C7F">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9702.82 </w:t>
            </w:r>
          </w:p>
        </w:tc>
        <w:tc>
          <w:tcPr>
            <w:tcW w:w="325"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561F7A2">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9558.39 </w:t>
            </w:r>
          </w:p>
        </w:tc>
        <w:tc>
          <w:tcPr>
            <w:tcW w:w="363"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10A2830">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9364.26 </w:t>
            </w:r>
          </w:p>
        </w:tc>
        <w:tc>
          <w:tcPr>
            <w:tcW w:w="348"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9166C2A">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9118.63 </w:t>
            </w:r>
          </w:p>
        </w:tc>
        <w:tc>
          <w:tcPr>
            <w:tcW w:w="348"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D2A7AD">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8819.66 </w:t>
            </w:r>
          </w:p>
        </w:tc>
        <w:tc>
          <w:tcPr>
            <w:tcW w:w="329"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E8E15FC">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8465.42 </w:t>
            </w:r>
          </w:p>
        </w:tc>
        <w:tc>
          <w:tcPr>
            <w:tcW w:w="343"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2F9BCEF9">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8053.92 </w:t>
            </w:r>
          </w:p>
        </w:tc>
        <w:tc>
          <w:tcPr>
            <w:tcW w:w="353"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3B7CEAB4">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7583.11 </w:t>
            </w:r>
          </w:p>
        </w:tc>
      </w:tr>
      <w:tr w14:paraId="32C86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2DA14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235D3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76A6F9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916CD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344F6D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02FCBD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A9388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A19F0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40CD97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614385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134364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1611F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22A14D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c>
          <w:tcPr>
            <w:tcW w:w="357" w:type="pct"/>
            <w:gridSpan w:val="2"/>
            <w:tcBorders>
              <w:top w:val="single" w:color="000000" w:sz="8" w:space="0"/>
              <w:left w:val="single" w:color="000000" w:sz="4" w:space="0"/>
              <w:bottom w:val="single" w:color="000000" w:sz="4" w:space="0"/>
              <w:right w:val="single" w:color="000000" w:sz="4" w:space="0"/>
            </w:tcBorders>
            <w:shd w:val="clear" w:color="auto" w:fill="D9D9D9"/>
            <w:noWrap/>
            <w:vAlign w:val="center"/>
          </w:tcPr>
          <w:p w14:paraId="5D5502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运营期</w:t>
            </w:r>
          </w:p>
        </w:tc>
      </w:tr>
      <w:tr w14:paraId="5AAC9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5D048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AE906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167F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F2819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45766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6CE5B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0E93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98EA3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76EF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BBC14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CE865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76430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71918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21E6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r>
      <w:tr w14:paraId="327C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61B9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2982.48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2DF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2966.56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A83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2950.07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19D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2932.99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9F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2915.29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D79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2896.96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38F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2877.96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743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2858.28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6AB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BD7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8B0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FB5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A4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29D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2837.90 </w:t>
            </w:r>
          </w:p>
        </w:tc>
      </w:tr>
      <w:tr w14:paraId="3D07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93E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3F0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C55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C3E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5A1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C12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A5E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FF1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0AF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1C4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057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A87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9C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8FE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8218.75 </w:t>
            </w:r>
          </w:p>
        </w:tc>
      </w:tr>
      <w:tr w14:paraId="0AB31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863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1D2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C08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7F3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F9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232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C7B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6D6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A1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555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51E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B25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73F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E1D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7110.05 </w:t>
            </w:r>
          </w:p>
        </w:tc>
      </w:tr>
      <w:tr w14:paraId="2932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8F4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272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A58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E32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64E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164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EBA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78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900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B8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D14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2DD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660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873C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596.50 </w:t>
            </w:r>
          </w:p>
        </w:tc>
      </w:tr>
      <w:tr w14:paraId="00AA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66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C55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C16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886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FD6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E99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369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297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9B6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A77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E45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4AF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81C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E82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512.20 </w:t>
            </w:r>
          </w:p>
        </w:tc>
      </w:tr>
      <w:tr w14:paraId="19AC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78A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AC6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09E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AA1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739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C20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482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09C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FB6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848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36F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16A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443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ACBA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76BE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5D1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D88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348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C22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ADE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A7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6EA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AB0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EF9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9A1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34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1F8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B9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C0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243.44 </w:t>
            </w:r>
          </w:p>
        </w:tc>
      </w:tr>
      <w:tr w14:paraId="76D39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272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5236.27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ABF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5252.18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68B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5268.67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295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5285.76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E75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5303.45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F35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5321.79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A8D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5340.78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986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5360.46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3E0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32C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1AC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2FF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2A2F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7EC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5380.85 </w:t>
            </w:r>
          </w:p>
        </w:tc>
      </w:tr>
      <w:tr w14:paraId="1B66D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D05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386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0C6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638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83B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917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7DD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6A2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35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922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81B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116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D58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EDD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4091.69 </w:t>
            </w:r>
          </w:p>
        </w:tc>
      </w:tr>
      <w:tr w14:paraId="0852C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49F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09B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733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5D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04DE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FFA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300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14E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44EE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70F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3FB0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98A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4079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C31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352.61 </w:t>
            </w:r>
          </w:p>
        </w:tc>
      </w:tr>
      <w:tr w14:paraId="64D6D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F80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CF9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F96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0C1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DEC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F3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A9A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0FBF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1FF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4C5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74E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B36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5984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1B9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158.78 </w:t>
            </w:r>
          </w:p>
        </w:tc>
      </w:tr>
      <w:tr w14:paraId="6CCEC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3DE9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A50D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3AD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485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39C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67D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AEC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91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B05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B0E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768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876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68C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C0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243.88 </w:t>
            </w:r>
          </w:p>
        </w:tc>
      </w:tr>
      <w:tr w14:paraId="46286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8A2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389.31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899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405.23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2A0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421.72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192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438.80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013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456.50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288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474.83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958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493.83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DFC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513.51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A3D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997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5B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128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4F8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CE8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533.89 </w:t>
            </w:r>
          </w:p>
        </w:tc>
      </w:tr>
      <w:tr w14:paraId="0E09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A00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11C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8A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BC5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131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EE1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A46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A6A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C5B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5C6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131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19EB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714B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F7D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433DB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79E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2E9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5AA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DBD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DDE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C36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67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412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BA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444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EE1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206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55A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BA2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4A625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AFB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B8D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3D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AF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10E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413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E00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0A47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8DC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DAE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8C85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774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3B5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356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53312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9A8E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B5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1A7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A0EB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2187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2B1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8BE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A57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AE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9AF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A57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011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F6D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ACE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7FB54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87B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B3B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776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9E5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E82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E7B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4C4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C1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C5F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23A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83F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FDC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BF7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A7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5CB7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768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9A8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355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86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1C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819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539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0A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43C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2DD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FEB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CF0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287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7C85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28DA4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C81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A72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4F4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199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75D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C37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CF9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C98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6FB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4DD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76E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F7C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36B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CB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1C19E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09B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308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77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A28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7F5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61F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6F0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F8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80C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1F9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047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3E8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FF7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C47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0A748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307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(3514.75)</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2FB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(3562.49)</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1AF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(3611.96)</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196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(3663.21)</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C07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(3716.31)</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36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(3771.31)</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4012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(3828.30)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6D0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(3887.33)</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F7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F33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C52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FCF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D6A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E94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(1601.68)</w:t>
            </w:r>
          </w:p>
        </w:tc>
      </w:tr>
      <w:tr w14:paraId="7B9D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49F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EC98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5CA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ED9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3F8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0C2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390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984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439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4D1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D48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4CD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4EF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6F3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205A4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05D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030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705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C71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3B4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2201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638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FE6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5940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DD0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F0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732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624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290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5C968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0D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500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AE9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D61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5AA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985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3B5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E84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97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55E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3A3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602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EE9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nil"/>
              <w:right w:val="single" w:color="000000" w:sz="4" w:space="0"/>
            </w:tcBorders>
            <w:shd w:val="clear" w:color="auto" w:fill="auto"/>
            <w:noWrap/>
            <w:vAlign w:val="center"/>
          </w:tcPr>
          <w:p w14:paraId="0D49B7A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6CF4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287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345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35E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DA7F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62C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C97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5B4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72A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A08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185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C69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EDB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nil"/>
            </w:tcBorders>
            <w:shd w:val="clear" w:color="auto" w:fill="auto"/>
            <w:noWrap/>
            <w:vAlign w:val="center"/>
          </w:tcPr>
          <w:p w14:paraId="3AAF3D9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E49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37390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09D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15B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A58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68F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230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F30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37BD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5D8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978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996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B7FB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599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nil"/>
            </w:tcBorders>
            <w:shd w:val="clear" w:color="auto" w:fill="auto"/>
            <w:noWrap/>
            <w:vAlign w:val="center"/>
          </w:tcPr>
          <w:p w14:paraId="68F54F8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F93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6315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359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9C3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661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5FE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EE1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6BD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23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7E7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DA5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6C1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851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911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nil"/>
            </w:tcBorders>
            <w:shd w:val="clear" w:color="auto" w:fill="auto"/>
            <w:noWrap/>
            <w:vAlign w:val="center"/>
          </w:tcPr>
          <w:p w14:paraId="49F79D7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7B3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0D56A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9D3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FDD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9D4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5AC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202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855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87D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E39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FD5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D8DB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7D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C33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nil"/>
            </w:tcBorders>
            <w:shd w:val="clear" w:color="auto" w:fill="auto"/>
            <w:noWrap/>
            <w:vAlign w:val="center"/>
          </w:tcPr>
          <w:p w14:paraId="5427C88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460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37264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49F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3514.75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42B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3562.49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8E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3611.96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0FE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3663.21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530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3716.31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736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3771.31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4D7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3828.30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1B9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3887.33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688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1D9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283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0AC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nil"/>
            </w:tcBorders>
            <w:shd w:val="clear" w:color="auto" w:fill="auto"/>
            <w:noWrap/>
            <w:vAlign w:val="center"/>
          </w:tcPr>
          <w:p w14:paraId="1923865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BF0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r>
      <w:tr w14:paraId="6812C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319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578.33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17A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514.67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727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448.71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B84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380.38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FFF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309.59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17C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236.25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EA4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160.27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C98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81.55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C30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AA9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C47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A08A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51FB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c>
          <w:tcPr>
            <w:tcW w:w="357" w:type="pct"/>
            <w:gridSpan w:val="2"/>
            <w:tcBorders>
              <w:top w:val="nil"/>
              <w:left w:val="single" w:color="000000" w:sz="4" w:space="0"/>
              <w:bottom w:val="single" w:color="000000" w:sz="4" w:space="0"/>
              <w:right w:val="single" w:color="000000" w:sz="4" w:space="0"/>
            </w:tcBorders>
            <w:shd w:val="clear" w:color="auto" w:fill="auto"/>
            <w:noWrap/>
            <w:vAlign w:val="center"/>
          </w:tcPr>
          <w:p w14:paraId="65F6C3E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(0.00)</w:t>
            </w:r>
          </w:p>
        </w:tc>
      </w:tr>
      <w:tr w14:paraId="3F721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BB5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1768.48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0F2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1832.15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CA8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1898.11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351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1966.44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D25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2037.23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DA21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2110.57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39D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2186.55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401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2265.27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AF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16E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885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08A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033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9CF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0.00 </w:t>
            </w:r>
          </w:p>
        </w:tc>
      </w:tr>
      <w:tr w14:paraId="0EFD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606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1167.93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958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1215.68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1099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1265.15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C63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1316.39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E8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1369.49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46F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1424.49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044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1481.48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F78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1540.52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570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469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FC3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1DF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F7E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0F5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1601.68 </w:t>
            </w:r>
          </w:p>
        </w:tc>
      </w:tr>
      <w:tr w14:paraId="1AF0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6E3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5BF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F3E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F01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371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ECBB9">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EF1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F61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919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B4C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C1A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67D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5D4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86F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p>
        </w:tc>
      </w:tr>
      <w:tr w14:paraId="0648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780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(532.27)</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E79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(595.93)</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8D9A">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(661.89)</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FB3D">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(730.22)</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D54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(801.01)</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656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(874.35)</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248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(950.33)</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A0F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(1029.05)</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D4EA2">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A62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A63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75EE">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26C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c>
          <w:tcPr>
            <w:tcW w:w="3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F7DA8">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1236.22 </w:t>
            </w:r>
          </w:p>
        </w:tc>
      </w:tr>
      <w:tr w14:paraId="7FD0D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FDF7B6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7050.84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1715461">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6454.91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698846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5793.02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A00F7FC">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5062.80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BFA64F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4261.79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FED7AB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3387.43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6F44FFB">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2437.10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02D5BCD0">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1408.05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708C235">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2644.27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9AE1047">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3880.48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61A88E4">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5116.70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8F0F4A6">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6352.92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5E938203">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7589.14 </w:t>
            </w:r>
          </w:p>
        </w:tc>
        <w:tc>
          <w:tcPr>
            <w:tcW w:w="357"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462016F">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仿宋" w:cs="Times New Roman"/>
                <w:i w:val="0"/>
                <w:iCs w:val="0"/>
                <w:color w:val="000000"/>
                <w:kern w:val="0"/>
                <w:sz w:val="20"/>
                <w:szCs w:val="20"/>
                <w:u w:val="none"/>
                <w:lang w:val="en-US" w:eastAsia="zh-CN" w:bidi="ar"/>
              </w:rPr>
            </w:pPr>
            <w:r>
              <w:rPr>
                <w:rFonts w:hint="default" w:ascii="Times New Roman" w:hAnsi="Times New Roman" w:eastAsia="仿宋" w:cs="Times New Roman"/>
                <w:i w:val="0"/>
                <w:iCs w:val="0"/>
                <w:color w:val="000000"/>
                <w:kern w:val="0"/>
                <w:sz w:val="20"/>
                <w:szCs w:val="20"/>
                <w:u w:val="none"/>
                <w:lang w:val="en-US" w:eastAsia="zh-CN" w:bidi="ar"/>
              </w:rPr>
              <w:t xml:space="preserve">8825.35 </w:t>
            </w:r>
          </w:p>
        </w:tc>
      </w:tr>
    </w:tbl>
    <w:p w14:paraId="7972A055">
      <w:pPr>
        <w:spacing w:line="240" w:lineRule="auto"/>
        <w:rPr>
          <w:rFonts w:hint="eastAsia" w:ascii="仿宋" w:hAnsi="仿宋" w:cs="仿宋"/>
          <w:color w:val="000000" w:themeColor="text1"/>
          <w:sz w:val="18"/>
          <w:szCs w:val="18"/>
          <w14:textFill>
            <w14:solidFill>
              <w14:schemeClr w14:val="tx1"/>
            </w14:solidFill>
          </w14:textFill>
        </w:rPr>
      </w:pPr>
      <w:r>
        <w:rPr>
          <w:rFonts w:hint="eastAsia" w:ascii="仿宋" w:hAnsi="仿宋" w:cs="仿宋"/>
          <w:color w:val="000000" w:themeColor="text1"/>
          <w:sz w:val="18"/>
          <w:szCs w:val="18"/>
          <w14:textFill>
            <w14:solidFill>
              <w14:schemeClr w14:val="tx1"/>
            </w14:solidFill>
          </w14:textFill>
        </w:rPr>
        <w:br w:type="page"/>
      </w:r>
    </w:p>
    <w:p w14:paraId="71366553">
      <w:pPr>
        <w:sectPr>
          <w:type w:val="continuous"/>
          <w:pgSz w:w="16838" w:h="11906" w:orient="landscape"/>
          <w:pgMar w:top="720" w:right="720" w:bottom="720" w:left="720" w:header="851" w:footer="992" w:gutter="0"/>
          <w:cols w:space="425" w:num="1"/>
          <w:titlePg/>
          <w:docGrid w:type="lines" w:linePitch="312" w:charSpace="0"/>
        </w:sectPr>
      </w:pPr>
    </w:p>
    <w:p w14:paraId="0A257774">
      <w:pPr>
        <w:pStyle w:val="6"/>
        <w:spacing w:before="156" w:after="1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w:t>
      </w:r>
    </w:p>
    <w:p w14:paraId="12DA722C">
      <w:pPr>
        <w:keepNext w:val="0"/>
        <w:keepLines w:val="0"/>
        <w:pageBreakBefore w:val="0"/>
        <w:widowControl w:val="0"/>
        <w:numPr>
          <w:ilvl w:val="0"/>
          <w:numId w:val="91"/>
        </w:numPr>
        <w:kinsoku/>
        <w:wordWrap/>
        <w:overflowPunct/>
        <w:topLinePunct w:val="0"/>
        <w:autoSpaceDE/>
        <w:autoSpaceDN/>
        <w:bidi w:val="0"/>
        <w:adjustRightInd/>
        <w:snapToGrid/>
        <w:ind w:left="454" w:leftChars="0" w:hanging="454" w:firstLineChars="0"/>
        <w:textAlignment w:val="auto"/>
        <w:outlineLvl w:val="4"/>
        <w:rPr>
          <w:rFonts w:hint="default"/>
          <w:lang w:val="en-US" w:eastAsia="zh-CN"/>
        </w:rPr>
      </w:pPr>
      <w:r>
        <w:rPr>
          <w:rFonts w:hint="eastAsia"/>
          <w:lang w:val="en-US" w:eastAsia="zh-CN"/>
        </w:rPr>
        <w:t>实施机构授权文件</w:t>
      </w:r>
    </w:p>
    <w:p w14:paraId="1A5DAF9E">
      <w:pPr>
        <w:rPr>
          <w:rFonts w:hint="default"/>
          <w:lang w:val="en-US" w:eastAsia="zh-CN"/>
        </w:rPr>
        <w:sectPr>
          <w:pgSz w:w="11906" w:h="16838"/>
          <w:pgMar w:top="720" w:right="720" w:bottom="720" w:left="720" w:header="851" w:footer="992" w:gutter="0"/>
          <w:cols w:space="425" w:num="1"/>
          <w:titlePg/>
          <w:docGrid w:type="lines" w:linePitch="312" w:charSpace="0"/>
        </w:sectPr>
      </w:pPr>
      <w:r>
        <w:drawing>
          <wp:inline distT="0" distB="0" distL="114300" distR="114300">
            <wp:extent cx="6555105" cy="7555865"/>
            <wp:effectExtent l="0" t="0" r="10795"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5"/>
                    <a:stretch>
                      <a:fillRect/>
                    </a:stretch>
                  </pic:blipFill>
                  <pic:spPr>
                    <a:xfrm>
                      <a:off x="0" y="0"/>
                      <a:ext cx="6555105" cy="7555865"/>
                    </a:xfrm>
                    <a:prstGeom prst="rect">
                      <a:avLst/>
                    </a:prstGeom>
                    <a:noFill/>
                    <a:ln>
                      <a:noFill/>
                    </a:ln>
                  </pic:spPr>
                </pic:pic>
              </a:graphicData>
            </a:graphic>
          </wp:inline>
        </w:drawing>
      </w:r>
    </w:p>
    <w:p w14:paraId="1B94E5D9">
      <w:pPr>
        <w:pStyle w:val="2"/>
        <w:rPr>
          <w:rFonts w:hint="eastAsia"/>
          <w:lang w:val="en-US" w:eastAsia="zh-CN"/>
        </w:rPr>
      </w:pPr>
    </w:p>
    <w:p w14:paraId="0F114C27">
      <w:pPr>
        <w:keepNext w:val="0"/>
        <w:keepLines w:val="0"/>
        <w:pageBreakBefore w:val="0"/>
        <w:widowControl w:val="0"/>
        <w:numPr>
          <w:ilvl w:val="0"/>
          <w:numId w:val="91"/>
        </w:numPr>
        <w:kinsoku/>
        <w:wordWrap/>
        <w:overflowPunct/>
        <w:topLinePunct w:val="0"/>
        <w:autoSpaceDE/>
        <w:autoSpaceDN/>
        <w:bidi w:val="0"/>
        <w:adjustRightInd/>
        <w:snapToGrid/>
        <w:ind w:left="454" w:leftChars="0" w:hanging="454" w:firstLineChars="0"/>
        <w:textAlignment w:val="auto"/>
        <w:outlineLvl w:val="4"/>
        <w:rPr>
          <w:rFonts w:hint="eastAsia"/>
          <w:lang w:val="en-US" w:eastAsia="zh-CN"/>
        </w:rPr>
      </w:pPr>
      <w:r>
        <w:rPr>
          <w:rFonts w:hint="eastAsia"/>
          <w:lang w:val="en-US" w:eastAsia="zh-CN"/>
        </w:rPr>
        <w:t>建设期绩效评价表</w:t>
      </w:r>
    </w:p>
    <w:tbl>
      <w:tblPr>
        <w:tblStyle w:val="25"/>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1"/>
        <w:gridCol w:w="1139"/>
        <w:gridCol w:w="1981"/>
        <w:gridCol w:w="11364"/>
      </w:tblGrid>
      <w:tr w14:paraId="1B72C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101F5E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kern w:val="0"/>
                <w:sz w:val="22"/>
                <w:szCs w:val="22"/>
                <w:lang w:val="en-US"/>
              </w:rPr>
            </w:pPr>
            <w:r>
              <w:rPr>
                <w:rFonts w:hint="eastAsia" w:ascii="Times New Roman" w:hAnsi="Times New Roman" w:eastAsia="宋体" w:cs="宋体"/>
                <w:b/>
                <w:bCs w:val="0"/>
                <w:kern w:val="0"/>
                <w:sz w:val="22"/>
                <w:szCs w:val="22"/>
                <w:lang w:val="en-US" w:eastAsia="zh-CN" w:bidi="ar"/>
              </w:rPr>
              <w:t>一级指标</w:t>
            </w:r>
          </w:p>
        </w:tc>
        <w:tc>
          <w:tcPr>
            <w:tcW w:w="3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EF9EF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kern w:val="0"/>
                <w:sz w:val="22"/>
                <w:szCs w:val="22"/>
                <w:lang w:val="en-US"/>
              </w:rPr>
            </w:pPr>
            <w:r>
              <w:rPr>
                <w:rFonts w:hint="eastAsia" w:ascii="Times New Roman" w:hAnsi="Times New Roman" w:eastAsia="宋体" w:cs="宋体"/>
                <w:b/>
                <w:bCs w:val="0"/>
                <w:kern w:val="0"/>
                <w:sz w:val="22"/>
                <w:szCs w:val="22"/>
                <w:lang w:val="en-US" w:eastAsia="zh-CN" w:bidi="ar"/>
              </w:rPr>
              <w:t>二级指标</w:t>
            </w: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3BD4B1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sz w:val="22"/>
                <w:szCs w:val="22"/>
                <w:lang w:val="en-US"/>
              </w:rPr>
            </w:pPr>
            <w:r>
              <w:rPr>
                <w:rFonts w:hint="eastAsia" w:ascii="Times New Roman" w:hAnsi="Times New Roman" w:eastAsia="宋体" w:cs="宋体"/>
                <w:b/>
                <w:bCs w:val="0"/>
                <w:kern w:val="0"/>
                <w:sz w:val="22"/>
                <w:szCs w:val="22"/>
                <w:lang w:val="en-US" w:eastAsia="zh-CN" w:bidi="ar"/>
              </w:rPr>
              <w:t>三级指标</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EC5E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sz w:val="22"/>
                <w:szCs w:val="22"/>
                <w:lang w:val="en-US"/>
              </w:rPr>
            </w:pPr>
            <w:r>
              <w:rPr>
                <w:rFonts w:hint="eastAsia" w:ascii="Times New Roman" w:hAnsi="Times New Roman" w:eastAsia="宋体" w:cs="宋体"/>
                <w:b/>
                <w:bCs w:val="0"/>
                <w:kern w:val="0"/>
                <w:sz w:val="22"/>
                <w:szCs w:val="22"/>
                <w:lang w:val="en-US" w:eastAsia="zh-CN" w:bidi="ar"/>
              </w:rPr>
              <w:t>考核标准及扣分说明</w:t>
            </w:r>
          </w:p>
        </w:tc>
      </w:tr>
      <w:tr w14:paraId="4446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restart"/>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0C532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产出（</w:t>
            </w:r>
            <w:r>
              <w:rPr>
                <w:rFonts w:hint="default" w:ascii="Times New Roman" w:hAnsi="Times New Roman" w:eastAsia="宋体" w:cs="Times New Roman"/>
                <w:kern w:val="2"/>
                <w:sz w:val="22"/>
                <w:szCs w:val="22"/>
                <w:lang w:val="en-US" w:eastAsia="zh-CN" w:bidi="ar"/>
              </w:rPr>
              <w:t>60</w:t>
            </w:r>
            <w:r>
              <w:rPr>
                <w:rFonts w:hint="eastAsia" w:ascii="Times New Roman" w:hAnsi="Times New Roman" w:eastAsia="宋体" w:cs="宋体"/>
                <w:kern w:val="2"/>
                <w:sz w:val="22"/>
                <w:szCs w:val="22"/>
                <w:lang w:val="en-US" w:eastAsia="zh-CN" w:bidi="ar"/>
              </w:rPr>
              <w:t>分）</w:t>
            </w:r>
          </w:p>
        </w:tc>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6F7C6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工程质量</w:t>
            </w:r>
          </w:p>
          <w:p w14:paraId="1D3A0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24</w:t>
            </w:r>
            <w:r>
              <w:rPr>
                <w:rFonts w:hint="eastAsia" w:ascii="Times New Roman" w:hAnsi="Times New Roman" w:eastAsia="宋体" w:cs="宋体"/>
                <w:kern w:val="2"/>
                <w:sz w:val="22"/>
                <w:szCs w:val="22"/>
                <w:lang w:val="en-US" w:eastAsia="zh-CN" w:bidi="ar"/>
              </w:rPr>
              <w:t>分）</w:t>
            </w: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4B7AE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参建人员和单位资质（</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8242D42">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设计单位无工程设计资质；勘察单位无工程勘察资质；监理单位无工程监理资质；建设单位无工程建设资质；国家特殊作业人员无证上岗等每缺少一项扣</w:t>
            </w:r>
            <w:r>
              <w:rPr>
                <w:rFonts w:hint="default" w:ascii="Times New Roman" w:hAnsi="Times New Roman" w:eastAsia="宋体" w:cs="Times New Roman"/>
                <w:kern w:val="2"/>
                <w:sz w:val="22"/>
                <w:szCs w:val="22"/>
                <w:lang w:val="en-US" w:eastAsia="zh-CN" w:bidi="ar"/>
              </w:rPr>
              <w:t>0.8</w:t>
            </w:r>
            <w:r>
              <w:rPr>
                <w:rFonts w:hint="eastAsia" w:ascii="Times New Roman" w:hAnsi="Times New Roman" w:eastAsia="宋体" w:cs="宋体"/>
                <w:kern w:val="2"/>
                <w:sz w:val="22"/>
                <w:szCs w:val="22"/>
                <w:lang w:val="en-US" w:eastAsia="zh-CN" w:bidi="ar"/>
              </w:rPr>
              <w:t>分，最多扣</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r>
      <w:tr w14:paraId="5D7A2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61EA4AD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2D3644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EEB0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质量管理资料齐全、良好（</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6659FA0">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0"/>
                <w:sz w:val="22"/>
                <w:szCs w:val="22"/>
                <w:lang w:val="en-US" w:eastAsia="zh-CN" w:bidi="ar"/>
              </w:rPr>
              <w:t>未定期举行质量例会每次扣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分；未按时上报质量月报表扣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分，施工各阶段质量检查资料不完整，发现后要求及时整改，未及时整改的，每缺少一项扣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分。本项最多扣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75715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3D5CC52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827C65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3E9DB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质量监督</w:t>
            </w:r>
          </w:p>
          <w:p w14:paraId="41525F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C1BCBD2">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无工程质量监督人员；无工作质量监督计划；无工程质量监督记录等经查要求完善而未响应者每</w:t>
            </w:r>
            <w:r>
              <w:rPr>
                <w:rFonts w:hint="eastAsia" w:ascii="Times New Roman" w:hAnsi="Times New Roman" w:eastAsia="宋体" w:cs="宋体"/>
                <w:kern w:val="0"/>
                <w:sz w:val="22"/>
                <w:szCs w:val="22"/>
                <w:lang w:val="en-US" w:eastAsia="zh-CN" w:bidi="ar"/>
              </w:rPr>
              <w:t>一项</w:t>
            </w:r>
            <w:r>
              <w:rPr>
                <w:rFonts w:hint="eastAsia" w:ascii="Times New Roman" w:hAnsi="Times New Roman" w:eastAsia="宋体" w:cs="宋体"/>
                <w:kern w:val="2"/>
                <w:sz w:val="22"/>
                <w:szCs w:val="22"/>
                <w:lang w:val="en-US" w:eastAsia="zh-CN" w:bidi="ar"/>
              </w:rPr>
              <w:t>扣</w:t>
            </w:r>
            <w:r>
              <w:rPr>
                <w:rFonts w:hint="default" w:ascii="Times New Roman" w:hAnsi="Times New Roman" w:eastAsia="宋体" w:cs="Times New Roman"/>
                <w:kern w:val="2"/>
                <w:sz w:val="22"/>
                <w:szCs w:val="22"/>
                <w:lang w:val="en-US" w:eastAsia="zh-CN" w:bidi="ar"/>
              </w:rPr>
              <w:t>0.4</w:t>
            </w:r>
            <w:r>
              <w:rPr>
                <w:rFonts w:hint="eastAsia" w:ascii="Times New Roman" w:hAnsi="Times New Roman" w:eastAsia="宋体" w:cs="宋体"/>
                <w:kern w:val="2"/>
                <w:sz w:val="22"/>
                <w:szCs w:val="22"/>
                <w:lang w:val="en-US" w:eastAsia="zh-CN" w:bidi="ar"/>
              </w:rPr>
              <w:t>分，最多扣</w:t>
            </w:r>
            <w:r>
              <w:rPr>
                <w:rFonts w:hint="default" w:ascii="Times New Roman" w:hAnsi="Times New Roman" w:eastAsia="宋体" w:cs="Times New Roman"/>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tc>
      </w:tr>
      <w:tr w14:paraId="44FBB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37AD86F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35B3B2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0C3C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质量保证措施</w:t>
            </w:r>
          </w:p>
          <w:p w14:paraId="6770EC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A811E9F">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无施工图现场核查和施工技术交底记录；无材料、设备、配件进场检验和质量自检记录；无加强工艺、质量控制方案审查和实验记录；无现场检查记录等经查要求完善而未响应者每</w:t>
            </w:r>
            <w:r>
              <w:rPr>
                <w:rFonts w:hint="eastAsia" w:ascii="Times New Roman" w:hAnsi="Times New Roman" w:eastAsia="宋体" w:cs="宋体"/>
                <w:kern w:val="0"/>
                <w:sz w:val="22"/>
                <w:szCs w:val="22"/>
                <w:lang w:val="en-US" w:eastAsia="zh-CN" w:bidi="ar"/>
              </w:rPr>
              <w:t>一项</w:t>
            </w:r>
            <w:r>
              <w:rPr>
                <w:rFonts w:hint="eastAsia" w:ascii="Times New Roman" w:hAnsi="Times New Roman" w:eastAsia="宋体" w:cs="宋体"/>
                <w:kern w:val="2"/>
                <w:sz w:val="22"/>
                <w:szCs w:val="22"/>
                <w:lang w:val="en-US" w:eastAsia="zh-CN" w:bidi="ar"/>
              </w:rPr>
              <w:t>扣</w:t>
            </w:r>
            <w:r>
              <w:rPr>
                <w:rFonts w:hint="default" w:ascii="Times New Roman" w:hAnsi="Times New Roman" w:eastAsia="宋体" w:cs="Times New Roman"/>
                <w:kern w:val="2"/>
                <w:sz w:val="22"/>
                <w:szCs w:val="22"/>
                <w:lang w:val="en-US" w:eastAsia="zh-CN" w:bidi="ar"/>
              </w:rPr>
              <w:t>0.4</w:t>
            </w:r>
            <w:r>
              <w:rPr>
                <w:rFonts w:hint="eastAsia" w:ascii="Times New Roman" w:hAnsi="Times New Roman" w:eastAsia="宋体" w:cs="宋体"/>
                <w:kern w:val="2"/>
                <w:sz w:val="22"/>
                <w:szCs w:val="22"/>
                <w:lang w:val="en-US" w:eastAsia="zh-CN" w:bidi="ar"/>
              </w:rPr>
              <w:t>分，最多扣</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r>
      <w:tr w14:paraId="1592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6FD427F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97600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6E6A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0"/>
                <w:sz w:val="22"/>
                <w:szCs w:val="22"/>
                <w:lang w:val="en-US" w:eastAsia="zh-CN" w:bidi="ar"/>
              </w:rPr>
              <w:t>质量事故</w:t>
            </w:r>
            <w:r>
              <w:rPr>
                <w:rFonts w:hint="default" w:ascii="Times New Roman" w:hAnsi="Times New Roman" w:eastAsia="宋体" w:cs="Times New Roman"/>
                <w:kern w:val="0"/>
                <w:sz w:val="22"/>
                <w:szCs w:val="22"/>
                <w:lang w:val="en-US" w:eastAsia="zh-CN" w:bidi="ar"/>
              </w:rPr>
              <w:br w:type="textWrapping"/>
            </w: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92B1E45">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0"/>
                <w:sz w:val="22"/>
                <w:szCs w:val="22"/>
                <w:lang w:val="en-US" w:eastAsia="zh-CN" w:bidi="ar"/>
              </w:rPr>
              <w:t>每发生一起一般质量问题扣</w:t>
            </w:r>
            <w:r>
              <w:rPr>
                <w:rFonts w:hint="default" w:ascii="Times New Roman" w:hAnsi="Times New Roman" w:eastAsia="宋体" w:cs="Times New Roman"/>
                <w:kern w:val="0"/>
                <w:sz w:val="22"/>
                <w:szCs w:val="22"/>
                <w:lang w:val="en-US" w:eastAsia="zh-CN" w:bidi="ar"/>
              </w:rPr>
              <w:t>2</w:t>
            </w:r>
            <w:r>
              <w:rPr>
                <w:rFonts w:hint="eastAsia" w:ascii="Times New Roman" w:hAnsi="Times New Roman" w:eastAsia="宋体" w:cs="宋体"/>
                <w:kern w:val="0"/>
                <w:sz w:val="22"/>
                <w:szCs w:val="22"/>
                <w:lang w:val="en-US" w:eastAsia="zh-CN" w:bidi="ar"/>
              </w:rPr>
              <w:t>分；每发生一起较大或重大质量事故扣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分；每发生一起特别重大事故扣</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w:t>
            </w:r>
          </w:p>
        </w:tc>
      </w:tr>
      <w:tr w14:paraId="01DF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29FB9D4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418F41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46D3D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质量检查</w:t>
            </w:r>
          </w:p>
          <w:p w14:paraId="113780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4FBB44A">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结合县建设、质监等部门的日常质量检查结果综合评定，每有一项违反规定的，扣</w:t>
            </w:r>
            <w:r>
              <w:rPr>
                <w:rFonts w:hint="default" w:ascii="Times New Roman" w:hAnsi="Times New Roman" w:eastAsia="宋体" w:cs="Times New Roman"/>
                <w:kern w:val="0"/>
                <w:sz w:val="22"/>
                <w:szCs w:val="22"/>
                <w:lang w:val="en-US" w:eastAsia="zh-CN" w:bidi="ar"/>
              </w:rPr>
              <w:t>1</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772F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3D5172F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restart"/>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4F0FB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bCs/>
                <w:kern w:val="0"/>
                <w:sz w:val="22"/>
                <w:szCs w:val="22"/>
                <w:lang w:val="en-US" w:eastAsia="zh-CN" w:bidi="ar"/>
              </w:rPr>
              <w:t>工程进度</w:t>
            </w:r>
            <w:r>
              <w:rPr>
                <w:rFonts w:hint="default" w:ascii="Times New Roman" w:hAnsi="Times New Roman" w:eastAsia="宋体" w:cs="Times New Roman"/>
                <w:bCs/>
                <w:kern w:val="0"/>
                <w:sz w:val="22"/>
                <w:szCs w:val="22"/>
                <w:lang w:val="en-US" w:eastAsia="zh-CN" w:bidi="ar"/>
              </w:rPr>
              <w:br w:type="textWrapping"/>
            </w:r>
            <w:r>
              <w:rPr>
                <w:rFonts w:hint="eastAsia" w:ascii="Times New Roman" w:hAnsi="Times New Roman" w:eastAsia="宋体" w:cs="宋体"/>
                <w:bCs/>
                <w:kern w:val="0"/>
                <w:sz w:val="22"/>
                <w:szCs w:val="22"/>
                <w:lang w:val="en-US" w:eastAsia="zh-CN" w:bidi="ar"/>
              </w:rPr>
              <w:t>（</w:t>
            </w:r>
            <w:r>
              <w:rPr>
                <w:rFonts w:hint="default" w:ascii="Times New Roman" w:hAnsi="Times New Roman" w:eastAsia="宋体" w:cs="Times New Roman"/>
                <w:bCs/>
                <w:kern w:val="0"/>
                <w:sz w:val="22"/>
                <w:szCs w:val="22"/>
                <w:lang w:val="en-US" w:eastAsia="zh-CN" w:bidi="ar"/>
              </w:rPr>
              <w:t>16</w:t>
            </w:r>
            <w:r>
              <w:rPr>
                <w:rFonts w:hint="eastAsia" w:ascii="Times New Roman" w:hAnsi="Times New Roman" w:eastAsia="宋体" w:cs="宋体"/>
                <w:bCs/>
                <w:kern w:val="0"/>
                <w:sz w:val="22"/>
                <w:szCs w:val="22"/>
                <w:lang w:val="en-US" w:eastAsia="zh-CN" w:bidi="ar"/>
              </w:rPr>
              <w:t>分）</w:t>
            </w:r>
          </w:p>
        </w:tc>
        <w:tc>
          <w:tcPr>
            <w:tcW w:w="642" w:type="pct"/>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7F4D8D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进度管理制度建设</w:t>
            </w:r>
          </w:p>
          <w:p w14:paraId="76FBC5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2A5B93D">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无事前计划制度；无建设过程控制制度；无进度节点控制管理办法等要求完善而未响应者每一项扣</w:t>
            </w:r>
            <w:r>
              <w:rPr>
                <w:rFonts w:hint="default" w:ascii="Times New Roman" w:hAnsi="Times New Roman" w:eastAsia="宋体" w:cs="Times New Roman"/>
                <w:kern w:val="2"/>
                <w:sz w:val="22"/>
                <w:szCs w:val="22"/>
                <w:lang w:val="en-US" w:eastAsia="zh-CN" w:bidi="ar"/>
              </w:rPr>
              <w:t>0.4</w:t>
            </w:r>
            <w:r>
              <w:rPr>
                <w:rFonts w:hint="eastAsia" w:ascii="Times New Roman" w:hAnsi="Times New Roman" w:eastAsia="宋体" w:cs="宋体"/>
                <w:kern w:val="2"/>
                <w:sz w:val="22"/>
                <w:szCs w:val="22"/>
                <w:lang w:val="en-US" w:eastAsia="zh-CN" w:bidi="ar"/>
              </w:rPr>
              <w:t>分，最多扣</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r>
      <w:tr w14:paraId="72BB7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66EA1D5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3F906C6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5C35C2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进度计划</w:t>
            </w:r>
          </w:p>
          <w:p w14:paraId="67DF7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6</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EE190D4">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未按时编制科学合理的施工总进度计划、阶段性计划（年度、季度或月度），即缺少总进度计划或阶段性计划的，每少一项扣</w:t>
            </w:r>
            <w:r>
              <w:rPr>
                <w:rFonts w:hint="default" w:ascii="Times New Roman" w:hAnsi="Times New Roman" w:eastAsia="宋体" w:cs="Times New Roman"/>
                <w:kern w:val="2"/>
                <w:sz w:val="22"/>
                <w:szCs w:val="22"/>
                <w:lang w:val="en-US" w:eastAsia="zh-CN" w:bidi="ar"/>
              </w:rPr>
              <w:t>0.5</w:t>
            </w:r>
            <w:r>
              <w:rPr>
                <w:rFonts w:hint="eastAsia" w:ascii="Times New Roman" w:hAnsi="Times New Roman" w:eastAsia="宋体" w:cs="宋体"/>
                <w:kern w:val="2"/>
                <w:sz w:val="22"/>
                <w:szCs w:val="22"/>
                <w:lang w:val="en-US" w:eastAsia="zh-CN" w:bidi="ar"/>
              </w:rPr>
              <w:t>分。</w:t>
            </w:r>
          </w:p>
        </w:tc>
      </w:tr>
      <w:tr w14:paraId="64348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4273006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56E5E80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000000" w:sz="4" w:space="0"/>
              <w:bottom w:val="single" w:color="auto" w:sz="4" w:space="0"/>
              <w:right w:val="nil"/>
            </w:tcBorders>
            <w:shd w:val="clear" w:color="auto" w:fill="auto"/>
            <w:tcMar>
              <w:top w:w="15" w:type="dxa"/>
              <w:left w:w="15" w:type="dxa"/>
              <w:bottom w:w="15" w:type="dxa"/>
              <w:right w:w="15" w:type="dxa"/>
            </w:tcMar>
            <w:vAlign w:val="center"/>
          </w:tcPr>
          <w:p w14:paraId="055A387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工程进度节点</w:t>
            </w:r>
          </w:p>
          <w:p w14:paraId="6BED160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6</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9C5E362">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工程是否符合工程进度要求，以项目投入试运行时间作为里程碑节点，对未达到节点要求，又无采取针对性措施者，每晚节点一个月，扣</w:t>
            </w:r>
            <w:r>
              <w:rPr>
                <w:rFonts w:hint="default" w:ascii="Times New Roman" w:hAnsi="Times New Roman" w:eastAsia="宋体" w:cs="Times New Roman"/>
                <w:kern w:val="0"/>
                <w:sz w:val="22"/>
                <w:szCs w:val="22"/>
                <w:lang w:val="en-US" w:eastAsia="zh-CN" w:bidi="ar"/>
              </w:rPr>
              <w:t>1</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w:t>
            </w:r>
          </w:p>
        </w:tc>
      </w:tr>
      <w:tr w14:paraId="135C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72467C9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restar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79487E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sz w:val="22"/>
                <w:szCs w:val="22"/>
                <w:lang w:val="en-US"/>
              </w:rPr>
            </w:pPr>
            <w:r>
              <w:rPr>
                <w:rFonts w:hint="eastAsia" w:ascii="Times New Roman" w:hAnsi="Times New Roman" w:eastAsia="宋体" w:cs="宋体"/>
                <w:bCs/>
                <w:kern w:val="0"/>
                <w:sz w:val="22"/>
                <w:szCs w:val="22"/>
                <w:lang w:val="en-US" w:eastAsia="zh-CN" w:bidi="ar"/>
              </w:rPr>
              <w:t>工程安全</w:t>
            </w:r>
            <w:r>
              <w:rPr>
                <w:rFonts w:hint="default" w:ascii="Times New Roman" w:hAnsi="Times New Roman" w:eastAsia="宋体" w:cs="Times New Roman"/>
                <w:bCs/>
                <w:kern w:val="0"/>
                <w:sz w:val="22"/>
                <w:szCs w:val="22"/>
                <w:lang w:val="en-US" w:eastAsia="zh-CN" w:bidi="ar"/>
              </w:rPr>
              <w:br w:type="textWrapping"/>
            </w:r>
            <w:r>
              <w:rPr>
                <w:rFonts w:hint="eastAsia" w:ascii="Times New Roman" w:hAnsi="Times New Roman" w:eastAsia="宋体" w:cs="宋体"/>
                <w:bCs/>
                <w:kern w:val="0"/>
                <w:sz w:val="22"/>
                <w:szCs w:val="22"/>
                <w:lang w:val="en-US" w:eastAsia="zh-CN" w:bidi="ar"/>
              </w:rPr>
              <w:t>（</w:t>
            </w:r>
            <w:r>
              <w:rPr>
                <w:rFonts w:hint="default" w:ascii="Times New Roman" w:hAnsi="Times New Roman" w:eastAsia="宋体" w:cs="Times New Roman"/>
                <w:bCs/>
                <w:kern w:val="0"/>
                <w:sz w:val="22"/>
                <w:szCs w:val="22"/>
                <w:lang w:val="en-US" w:eastAsia="zh-CN" w:bidi="ar"/>
              </w:rPr>
              <w:t>20</w:t>
            </w:r>
            <w:r>
              <w:rPr>
                <w:rFonts w:hint="eastAsia" w:ascii="Times New Roman" w:hAnsi="Times New Roman" w:eastAsia="宋体" w:cs="宋体"/>
                <w:bCs/>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7B52C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安全管理制度建设</w:t>
            </w:r>
          </w:p>
          <w:p w14:paraId="5825C7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2ADF961">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无安全环保生产责任制制度，无安全培训教育管理制度，无安全生产会议管理制度，无生产安全事故报告、调查和处理制度，无重要时段和节假日安全管理制度，无项目现场安全管理制度等</w:t>
            </w:r>
            <w:r>
              <w:rPr>
                <w:rFonts w:hint="eastAsia" w:ascii="Times New Roman" w:hAnsi="Times New Roman" w:eastAsia="宋体" w:cs="宋体"/>
                <w:kern w:val="2"/>
                <w:sz w:val="22"/>
                <w:szCs w:val="22"/>
                <w:lang w:val="en-US" w:eastAsia="zh-CN" w:bidi="ar"/>
              </w:rPr>
              <w:t>制度经查要求完善而未响应者每</w:t>
            </w:r>
            <w:r>
              <w:rPr>
                <w:rFonts w:hint="eastAsia" w:ascii="Times New Roman" w:hAnsi="Times New Roman" w:eastAsia="宋体" w:cs="宋体"/>
                <w:kern w:val="0"/>
                <w:sz w:val="22"/>
                <w:szCs w:val="22"/>
                <w:lang w:val="en-US" w:eastAsia="zh-CN" w:bidi="ar"/>
              </w:rPr>
              <w:t>一项扣</w:t>
            </w:r>
            <w:r>
              <w:rPr>
                <w:rFonts w:hint="default" w:ascii="Times New Roman" w:hAnsi="Times New Roman" w:eastAsia="宋体" w:cs="Times New Roman"/>
                <w:kern w:val="0"/>
                <w:sz w:val="22"/>
                <w:szCs w:val="22"/>
                <w:lang w:val="en-US" w:eastAsia="zh-CN" w:bidi="ar"/>
              </w:rPr>
              <w:t>0.4</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12112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10B4F8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778ED6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13F97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安全管理人员到岗情况</w:t>
            </w:r>
          </w:p>
          <w:p w14:paraId="3A5EE9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FA84C08">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参建各方现场安全管理人员无证上岗或无安全管理人员到岗、现场人员未按要求佩戴证件、未穿戴安全保护设施等要求整改而未响应者每发生一次扣</w:t>
            </w:r>
            <w:r>
              <w:rPr>
                <w:rFonts w:hint="default" w:ascii="Times New Roman" w:hAnsi="Times New Roman" w:eastAsia="宋体" w:cs="Times New Roman"/>
                <w:kern w:val="0"/>
                <w:sz w:val="22"/>
                <w:szCs w:val="22"/>
                <w:lang w:val="en-US" w:eastAsia="zh-CN" w:bidi="ar"/>
              </w:rPr>
              <w:t>0.4</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0E6E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08F3514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29C00FA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6770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安全监督</w:t>
            </w:r>
          </w:p>
          <w:p w14:paraId="135CD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2"/>
                <w:szCs w:val="22"/>
                <w:lang w:val="en-US"/>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Times New Roman"/>
                <w:kern w:val="2"/>
                <w:sz w:val="22"/>
                <w:szCs w:val="22"/>
                <w:lang w:val="en-US" w:eastAsia="zh-CN" w:bidi="ar"/>
              </w:rPr>
              <w:t>3</w:t>
            </w:r>
            <w:r>
              <w:rPr>
                <w:rFonts w:hint="eastAsia" w:ascii="Times New Roman" w:hAnsi="Times New Roman" w:eastAsia="宋体" w:cs="宋体"/>
                <w:kern w:val="2"/>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696B410">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特种作业无证上岗扣</w:t>
            </w:r>
            <w:r>
              <w:rPr>
                <w:rFonts w:hint="default" w:ascii="Times New Roman" w:hAnsi="Times New Roman" w:eastAsia="宋体" w:cs="Times New Roman"/>
                <w:kern w:val="0"/>
                <w:sz w:val="22"/>
                <w:szCs w:val="22"/>
                <w:lang w:val="en-US" w:eastAsia="zh-CN" w:bidi="ar"/>
              </w:rPr>
              <w:t>0.5</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2</w:t>
            </w:r>
            <w:r>
              <w:rPr>
                <w:rFonts w:hint="eastAsia" w:ascii="Times New Roman" w:hAnsi="Times New Roman" w:eastAsia="宋体" w:cs="宋体"/>
                <w:kern w:val="0"/>
                <w:sz w:val="22"/>
                <w:szCs w:val="22"/>
                <w:lang w:val="en-US" w:eastAsia="zh-CN" w:bidi="ar"/>
              </w:rPr>
              <w:t>分；未定期组织进行安全检查，每次扣</w:t>
            </w:r>
            <w:r>
              <w:rPr>
                <w:rFonts w:hint="default" w:ascii="Times New Roman" w:hAnsi="Times New Roman" w:eastAsia="宋体" w:cs="Times New Roman"/>
                <w:kern w:val="0"/>
                <w:sz w:val="22"/>
                <w:szCs w:val="22"/>
                <w:lang w:val="en-US" w:eastAsia="zh-CN" w:bidi="ar"/>
              </w:rPr>
              <w:t>0.1</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1</w:t>
            </w:r>
            <w:r>
              <w:rPr>
                <w:rFonts w:hint="eastAsia" w:ascii="Times New Roman" w:hAnsi="Times New Roman" w:eastAsia="宋体" w:cs="宋体"/>
                <w:kern w:val="0"/>
                <w:sz w:val="22"/>
                <w:szCs w:val="22"/>
                <w:lang w:val="en-US" w:eastAsia="zh-CN" w:bidi="ar"/>
              </w:rPr>
              <w:t>分。</w:t>
            </w:r>
          </w:p>
        </w:tc>
      </w:tr>
      <w:tr w14:paraId="3E44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78E2EC0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64E8532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C3B22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安全培训教育</w:t>
            </w:r>
          </w:p>
          <w:p w14:paraId="184A1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3</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114ABEB">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未定期组织安全学习，每次扣</w:t>
            </w:r>
            <w:r>
              <w:rPr>
                <w:rFonts w:hint="default" w:ascii="Times New Roman" w:hAnsi="Times New Roman" w:eastAsia="宋体" w:cs="Times New Roman"/>
                <w:kern w:val="0"/>
                <w:sz w:val="22"/>
                <w:szCs w:val="22"/>
                <w:lang w:val="en-US" w:eastAsia="zh-CN" w:bidi="ar"/>
              </w:rPr>
              <w:t>0.1</w:t>
            </w:r>
            <w:r>
              <w:rPr>
                <w:rFonts w:hint="eastAsia" w:ascii="Times New Roman" w:hAnsi="Times New Roman" w:eastAsia="宋体" w:cs="宋体"/>
                <w:kern w:val="0"/>
                <w:sz w:val="22"/>
                <w:szCs w:val="22"/>
                <w:lang w:val="en-US" w:eastAsia="zh-CN" w:bidi="ar"/>
              </w:rPr>
              <w:t>分；未定期组织进行安全学习，每次扣</w:t>
            </w:r>
            <w:r>
              <w:rPr>
                <w:rFonts w:hint="default" w:ascii="Times New Roman" w:hAnsi="Times New Roman" w:eastAsia="宋体" w:cs="Times New Roman"/>
                <w:kern w:val="0"/>
                <w:sz w:val="22"/>
                <w:szCs w:val="22"/>
                <w:lang w:val="en-US" w:eastAsia="zh-CN" w:bidi="ar"/>
              </w:rPr>
              <w:t>0.1</w:t>
            </w:r>
            <w:r>
              <w:rPr>
                <w:rFonts w:hint="eastAsia" w:ascii="Times New Roman" w:hAnsi="Times New Roman" w:eastAsia="宋体" w:cs="宋体"/>
                <w:kern w:val="0"/>
                <w:sz w:val="22"/>
                <w:szCs w:val="22"/>
                <w:lang w:val="en-US" w:eastAsia="zh-CN" w:bidi="ar"/>
              </w:rPr>
              <w:t>分。本项最多扣</w:t>
            </w:r>
            <w:r>
              <w:rPr>
                <w:rFonts w:hint="default" w:ascii="Times New Roman" w:hAnsi="Times New Roman" w:eastAsia="宋体" w:cs="Times New Roman"/>
                <w:kern w:val="0"/>
                <w:sz w:val="22"/>
                <w:szCs w:val="22"/>
                <w:lang w:val="en-US" w:eastAsia="zh-CN" w:bidi="ar"/>
              </w:rPr>
              <w:t>3</w:t>
            </w:r>
            <w:r>
              <w:rPr>
                <w:rFonts w:hint="eastAsia" w:ascii="Times New Roman" w:hAnsi="Times New Roman" w:eastAsia="宋体" w:cs="宋体"/>
                <w:kern w:val="0"/>
                <w:sz w:val="22"/>
                <w:szCs w:val="22"/>
                <w:lang w:val="en-US" w:eastAsia="zh-CN" w:bidi="ar"/>
              </w:rPr>
              <w:t>分</w:t>
            </w:r>
          </w:p>
        </w:tc>
      </w:tr>
      <w:tr w14:paraId="032D8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14:paraId="000532C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4F3F69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06DD6C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kern w:val="0"/>
                <w:sz w:val="22"/>
                <w:szCs w:val="22"/>
                <w:lang w:val="en-US"/>
              </w:rPr>
            </w:pPr>
            <w:r>
              <w:rPr>
                <w:rFonts w:hint="eastAsia" w:ascii="Times New Roman" w:hAnsi="Times New Roman" w:eastAsia="宋体" w:cs="宋体"/>
                <w:kern w:val="0"/>
                <w:sz w:val="22"/>
                <w:szCs w:val="22"/>
                <w:lang w:val="en-US" w:eastAsia="zh-CN" w:bidi="ar"/>
              </w:rPr>
              <w:t>安全事故</w:t>
            </w:r>
            <w:r>
              <w:rPr>
                <w:rFonts w:hint="default" w:ascii="Times New Roman" w:hAnsi="Times New Roman" w:eastAsia="宋体" w:cs="Times New Roman"/>
                <w:kern w:val="0"/>
                <w:sz w:val="22"/>
                <w:szCs w:val="22"/>
                <w:lang w:val="en-US" w:eastAsia="zh-CN" w:bidi="ar"/>
              </w:rPr>
              <w:br w:type="textWrapping"/>
            </w: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43B5DAA">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每发生一起一般安全问题扣</w:t>
            </w:r>
            <w:r>
              <w:rPr>
                <w:rFonts w:hint="default" w:ascii="Times New Roman" w:hAnsi="Times New Roman" w:eastAsia="宋体" w:cs="Times New Roman"/>
                <w:kern w:val="0"/>
                <w:sz w:val="22"/>
                <w:szCs w:val="22"/>
                <w:lang w:val="en-US" w:eastAsia="zh-CN" w:bidi="ar"/>
              </w:rPr>
              <w:t>2</w:t>
            </w:r>
            <w:r>
              <w:rPr>
                <w:rFonts w:hint="eastAsia" w:ascii="Times New Roman" w:hAnsi="Times New Roman" w:eastAsia="宋体" w:cs="宋体"/>
                <w:kern w:val="0"/>
                <w:sz w:val="22"/>
                <w:szCs w:val="22"/>
                <w:lang w:val="en-US" w:eastAsia="zh-CN" w:bidi="ar"/>
              </w:rPr>
              <w:t>分；每发生一起较大或重大安全事故扣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分；每发生一起特别重大安全事故扣</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分。本项最多扣</w:t>
            </w:r>
            <w:r>
              <w:rPr>
                <w:rFonts w:hint="default" w:ascii="Times New Roman" w:hAnsi="Times New Roman" w:eastAsia="宋体" w:cs="Times New Roman"/>
                <w:kern w:val="0"/>
                <w:sz w:val="22"/>
                <w:szCs w:val="22"/>
                <w:lang w:val="en-US" w:eastAsia="zh-CN" w:bidi="ar"/>
              </w:rPr>
              <w:t>6</w:t>
            </w:r>
            <w:r>
              <w:rPr>
                <w:rFonts w:hint="eastAsia" w:ascii="Times New Roman" w:hAnsi="Times New Roman" w:eastAsia="宋体" w:cs="宋体"/>
                <w:kern w:val="0"/>
                <w:sz w:val="22"/>
                <w:szCs w:val="22"/>
                <w:lang w:val="en-US" w:eastAsia="zh-CN" w:bidi="ar"/>
              </w:rPr>
              <w:t>分。</w:t>
            </w:r>
          </w:p>
        </w:tc>
      </w:tr>
      <w:tr w14:paraId="0FD53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restar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66C06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效果（</w:t>
            </w:r>
            <w:r>
              <w:rPr>
                <w:rFonts w:hint="default" w:ascii="Times New Roman" w:hAnsi="Times New Roman" w:eastAsia="宋体" w:cs="Times New Roman"/>
                <w:kern w:val="0"/>
                <w:sz w:val="22"/>
                <w:szCs w:val="22"/>
                <w:lang w:val="en-US" w:eastAsia="zh-CN" w:bidi="ar"/>
              </w:rPr>
              <w:t>26</w:t>
            </w:r>
            <w:r>
              <w:rPr>
                <w:rFonts w:hint="eastAsia" w:ascii="Times New Roman" w:hAnsi="Times New Roman" w:eastAsia="宋体" w:cs="宋体"/>
                <w:kern w:val="0"/>
                <w:sz w:val="22"/>
                <w:szCs w:val="22"/>
                <w:lang w:val="en-US" w:eastAsia="zh-CN" w:bidi="ar"/>
              </w:rPr>
              <w:t>分）</w:t>
            </w:r>
          </w:p>
        </w:tc>
        <w:tc>
          <w:tcPr>
            <w:tcW w:w="369" w:type="pct"/>
            <w:vMerge w:val="restar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15DCF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kern w:val="0"/>
                <w:sz w:val="22"/>
                <w:szCs w:val="22"/>
                <w:lang w:val="en-US"/>
              </w:rPr>
            </w:pPr>
            <w:r>
              <w:rPr>
                <w:rFonts w:hint="eastAsia" w:ascii="Times New Roman" w:hAnsi="Times New Roman" w:eastAsia="宋体" w:cs="宋体"/>
                <w:bCs/>
                <w:kern w:val="0"/>
                <w:sz w:val="22"/>
                <w:szCs w:val="22"/>
                <w:lang w:val="en-US" w:eastAsia="zh-CN" w:bidi="ar"/>
              </w:rPr>
              <w:t>生态影响（</w:t>
            </w:r>
            <w:r>
              <w:rPr>
                <w:rFonts w:hint="default" w:ascii="Times New Roman" w:hAnsi="Times New Roman" w:eastAsia="宋体" w:cs="Times New Roman"/>
                <w:bCs/>
                <w:kern w:val="0"/>
                <w:sz w:val="22"/>
                <w:szCs w:val="22"/>
                <w:lang w:val="en-US" w:eastAsia="zh-CN" w:bidi="ar"/>
              </w:rPr>
              <w:t>20</w:t>
            </w:r>
            <w:r>
              <w:rPr>
                <w:rFonts w:hint="eastAsia" w:ascii="Times New Roman" w:hAnsi="Times New Roman" w:eastAsia="宋体" w:cs="宋体"/>
                <w:bCs/>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E0FC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环境卫生制度建设</w:t>
            </w:r>
          </w:p>
          <w:p w14:paraId="23261D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AFEDAFC">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无环境保护管理制度要求完善而未响应者每发生一次扣</w:t>
            </w:r>
            <w:r>
              <w:rPr>
                <w:rFonts w:hint="default" w:ascii="Times New Roman" w:hAnsi="Times New Roman" w:eastAsia="宋体" w:cs="Times New Roman"/>
                <w:kern w:val="0"/>
                <w:sz w:val="22"/>
                <w:szCs w:val="22"/>
                <w:lang w:val="en-US" w:eastAsia="zh-CN" w:bidi="ar"/>
              </w:rPr>
              <w:t>0.1</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7192B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75D167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D7723E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7A1B5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大气污染控制</w:t>
            </w:r>
          </w:p>
          <w:p w14:paraId="02CB15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1D13622">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施工场地有扬尘，施工现场乱倒垃圾，未及时清理洒落的尘土等经查要求整改而未响应者每发生一次扣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12F4D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A7F4ED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77FAC1E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112F5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水污染控制</w:t>
            </w:r>
          </w:p>
          <w:p w14:paraId="783F1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0DACD81">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现场油料库房未进行防渗处理，生活区未设置化粪设施等要求整改而未响应者每发生一次扣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54B9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69C8DAD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2437D8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5B3E53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噪声控制</w:t>
            </w:r>
          </w:p>
          <w:p w14:paraId="1247430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99E1599">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工地夜间运输车辆鸣笛；施工现场产生噪音设备未控制等要求整改而未响应者每发生一次扣</w:t>
            </w:r>
            <w:r>
              <w:rPr>
                <w:rFonts w:hint="default" w:ascii="Times New Roman" w:hAnsi="Times New Roman" w:eastAsia="宋体" w:cs="Times New Roman"/>
                <w:kern w:val="0"/>
                <w:sz w:val="22"/>
                <w:szCs w:val="22"/>
                <w:lang w:val="en-US" w:eastAsia="zh-CN" w:bidi="ar"/>
              </w:rPr>
              <w:t>0.2</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r>
      <w:tr w14:paraId="4C83C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0283E9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D92FA8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2AE30D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泥浆及固体废弃物处理、处置（</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7B4714D">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施工现场有废弃砂浆，无废泥浆沉淀池，无车辆冲洗设施等经查要求整改而未响应者每发生一次扣</w:t>
            </w:r>
            <w:r>
              <w:rPr>
                <w:rFonts w:hint="default" w:ascii="Times New Roman" w:hAnsi="Times New Roman" w:eastAsia="宋体" w:cs="Times New Roman"/>
                <w:kern w:val="0"/>
                <w:sz w:val="22"/>
                <w:szCs w:val="22"/>
                <w:lang w:val="en-US" w:eastAsia="zh-CN" w:bidi="ar"/>
              </w:rPr>
              <w:t>0.1</w:t>
            </w:r>
            <w:r>
              <w:rPr>
                <w:rFonts w:hint="eastAsia" w:ascii="Times New Roman" w:hAnsi="Times New Roman" w:eastAsia="宋体" w:cs="宋体"/>
                <w:kern w:val="0"/>
                <w:sz w:val="22"/>
                <w:szCs w:val="22"/>
                <w:lang w:val="en-US" w:eastAsia="zh-CN" w:bidi="ar"/>
              </w:rPr>
              <w:t>分，最多扣</w:t>
            </w:r>
            <w:r>
              <w:rPr>
                <w:rFonts w:hint="default" w:ascii="Times New Roman" w:hAnsi="Times New Roman" w:eastAsia="宋体" w:cs="Times New Roman"/>
                <w:kern w:val="0"/>
                <w:sz w:val="22"/>
                <w:szCs w:val="22"/>
                <w:lang w:val="en-US" w:eastAsia="zh-CN" w:bidi="ar"/>
              </w:rPr>
              <w:t>2</w:t>
            </w:r>
            <w:r>
              <w:rPr>
                <w:rFonts w:hint="eastAsia" w:ascii="Times New Roman" w:hAnsi="Times New Roman" w:eastAsia="宋体" w:cs="宋体"/>
                <w:kern w:val="0"/>
                <w:sz w:val="22"/>
                <w:szCs w:val="22"/>
                <w:lang w:val="en-US" w:eastAsia="zh-CN" w:bidi="ar"/>
              </w:rPr>
              <w:t>分。</w:t>
            </w:r>
          </w:p>
        </w:tc>
      </w:tr>
      <w:tr w14:paraId="1417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1EEB08D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67480F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社会影响（</w:t>
            </w:r>
            <w:r>
              <w:rPr>
                <w:rFonts w:hint="default" w:ascii="Times New Roman" w:hAnsi="Times New Roman" w:eastAsia="宋体" w:cs="Times New Roman"/>
                <w:kern w:val="0"/>
                <w:sz w:val="22"/>
                <w:szCs w:val="22"/>
                <w:lang w:val="en-US" w:eastAsia="zh-CN" w:bidi="ar"/>
              </w:rPr>
              <w:t>4</w:t>
            </w:r>
            <w:r>
              <w:rPr>
                <w:rFonts w:hint="eastAsia" w:ascii="Times New Roman" w:hAnsi="Times New Roman" w:eastAsia="宋体" w:cs="宋体"/>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27BD0C2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0"/>
                <w:lang w:val="en-US" w:eastAsia="zh-CN" w:bidi="ar"/>
              </w:rPr>
              <w:t>舆情与投诉（</w:t>
            </w:r>
            <w:r>
              <w:rPr>
                <w:rFonts w:hint="default" w:ascii="Times New Roman" w:hAnsi="Times New Roman" w:eastAsia="宋体" w:cs="Times New Roman"/>
                <w:kern w:val="0"/>
                <w:sz w:val="22"/>
                <w:szCs w:val="20"/>
                <w:lang w:val="en-US" w:eastAsia="zh-CN" w:bidi="ar"/>
              </w:rPr>
              <w:t>4</w:t>
            </w:r>
            <w:r>
              <w:rPr>
                <w:rFonts w:hint="eastAsia" w:ascii="Times New Roman" w:hAnsi="Times New Roman" w:eastAsia="宋体" w:cs="宋体"/>
                <w:kern w:val="0"/>
                <w:sz w:val="22"/>
                <w:szCs w:val="20"/>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7C79C8E">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0"/>
                <w:lang w:val="en-US" w:eastAsia="zh-CN" w:bidi="ar"/>
              </w:rPr>
              <w:t>建设过程每发生一次可归责于项目公司的舆情或投诉事件的，扣</w:t>
            </w:r>
            <w:r>
              <w:rPr>
                <w:rFonts w:hint="default" w:ascii="Times New Roman" w:hAnsi="Times New Roman" w:eastAsia="宋体" w:cs="Times New Roman"/>
                <w:kern w:val="0"/>
                <w:sz w:val="22"/>
                <w:szCs w:val="20"/>
                <w:lang w:val="en-US" w:eastAsia="zh-CN" w:bidi="ar"/>
              </w:rPr>
              <w:t>0.5</w:t>
            </w:r>
            <w:r>
              <w:rPr>
                <w:rFonts w:hint="eastAsia" w:ascii="Times New Roman" w:hAnsi="Times New Roman" w:eastAsia="宋体" w:cs="宋体"/>
                <w:kern w:val="0"/>
                <w:sz w:val="22"/>
                <w:szCs w:val="20"/>
                <w:lang w:val="en-US" w:eastAsia="zh-CN" w:bidi="ar"/>
              </w:rPr>
              <w:t>分；建设过程每发生一次可归责于项目公司的舆情或投诉事件且项目公司未能及时处理的，扣</w:t>
            </w:r>
            <w:r>
              <w:rPr>
                <w:rFonts w:hint="default" w:ascii="Times New Roman" w:hAnsi="Times New Roman" w:eastAsia="宋体" w:cs="Times New Roman"/>
                <w:kern w:val="0"/>
                <w:sz w:val="22"/>
                <w:szCs w:val="20"/>
                <w:lang w:val="en-US" w:eastAsia="zh-CN" w:bidi="ar"/>
              </w:rPr>
              <w:t>1</w:t>
            </w:r>
            <w:r>
              <w:rPr>
                <w:rFonts w:hint="eastAsia" w:ascii="Times New Roman" w:hAnsi="Times New Roman" w:eastAsia="宋体" w:cs="宋体"/>
                <w:kern w:val="0"/>
                <w:sz w:val="22"/>
                <w:szCs w:val="20"/>
                <w:lang w:val="en-US" w:eastAsia="zh-CN" w:bidi="ar"/>
              </w:rPr>
              <w:t>分。本项最多扣</w:t>
            </w:r>
            <w:r>
              <w:rPr>
                <w:rFonts w:hint="default" w:ascii="Times New Roman" w:hAnsi="Times New Roman" w:eastAsia="宋体" w:cs="Times New Roman"/>
                <w:kern w:val="0"/>
                <w:sz w:val="22"/>
                <w:szCs w:val="20"/>
                <w:lang w:val="en-US" w:eastAsia="zh-CN" w:bidi="ar"/>
              </w:rPr>
              <w:t>4</w:t>
            </w:r>
            <w:r>
              <w:rPr>
                <w:rFonts w:hint="eastAsia" w:ascii="Times New Roman" w:hAnsi="Times New Roman" w:eastAsia="宋体" w:cs="宋体"/>
                <w:kern w:val="0"/>
                <w:sz w:val="22"/>
                <w:szCs w:val="20"/>
                <w:lang w:val="en-US" w:eastAsia="zh-CN" w:bidi="ar"/>
              </w:rPr>
              <w:t>分。</w:t>
            </w:r>
          </w:p>
        </w:tc>
      </w:tr>
      <w:tr w14:paraId="2702F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58454AE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5EEBBB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宋体" w:hAnsi="宋体" w:eastAsia="宋体" w:cs="宋体"/>
                <w:kern w:val="0"/>
                <w:sz w:val="22"/>
                <w:szCs w:val="22"/>
                <w:lang w:val="en-US" w:eastAsia="zh-CN" w:bidi="ar"/>
              </w:rPr>
              <w:t>满意度</w:t>
            </w:r>
            <w:r>
              <w:rPr>
                <w:rFonts w:hint="eastAsia" w:ascii="Times New Roman" w:hAnsi="Times New Roman" w:eastAsia="宋体" w:cs="宋体"/>
                <w:kern w:val="0"/>
                <w:sz w:val="22"/>
                <w:szCs w:val="22"/>
                <w:lang w:val="en-US" w:eastAsia="zh-CN" w:bidi="ar"/>
              </w:rPr>
              <w:t>（</w:t>
            </w:r>
            <w:r>
              <w:rPr>
                <w:rFonts w:hint="default" w:ascii="Times New Roman" w:hAnsi="Times New Roman" w:eastAsia="宋体" w:cs="Times New Roman"/>
                <w:kern w:val="0"/>
                <w:sz w:val="22"/>
                <w:szCs w:val="22"/>
                <w:lang w:val="en-US" w:eastAsia="zh-CN" w:bidi="ar"/>
              </w:rPr>
              <w:t>2</w:t>
            </w:r>
            <w:r>
              <w:rPr>
                <w:rFonts w:hint="eastAsia" w:ascii="Times New Roman" w:hAnsi="Times New Roman" w:eastAsia="宋体" w:cs="宋体"/>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1365469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0"/>
                <w:lang w:val="en-US"/>
              </w:rPr>
            </w:pPr>
            <w:r>
              <w:rPr>
                <w:rFonts w:hint="eastAsia" w:ascii="宋体" w:hAnsi="宋体" w:eastAsia="宋体" w:cs="宋体"/>
                <w:kern w:val="0"/>
                <w:sz w:val="22"/>
                <w:szCs w:val="22"/>
                <w:lang w:val="en-US" w:eastAsia="zh-CN" w:bidi="ar"/>
              </w:rPr>
              <w:t>政府方满意度（2分）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32ACAAE">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0"/>
                <w:lang w:val="en-US"/>
              </w:rPr>
            </w:pPr>
            <w:r>
              <w:rPr>
                <w:rFonts w:hint="eastAsia" w:ascii="宋体" w:hAnsi="宋体" w:eastAsia="宋体" w:cs="宋体"/>
                <w:kern w:val="0"/>
                <w:sz w:val="22"/>
                <w:szCs w:val="22"/>
                <w:lang w:val="en-US" w:eastAsia="zh-CN" w:bidi="ar"/>
              </w:rPr>
              <w:t>因项目公司履行职责不到位，被主管部门约谈、通报批评的，每有一次扣1分。</w:t>
            </w:r>
          </w:p>
        </w:tc>
      </w:tr>
      <w:tr w14:paraId="32AF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restar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067570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宋体" w:hAnsi="宋体" w:eastAsia="宋体" w:cs="宋体"/>
                <w:kern w:val="0"/>
                <w:sz w:val="22"/>
                <w:szCs w:val="22"/>
                <w:lang w:val="en-US" w:eastAsia="zh-CN" w:bidi="ar"/>
              </w:rPr>
              <w:t>管理（14分）</w:t>
            </w:r>
          </w:p>
        </w:tc>
        <w:tc>
          <w:tcPr>
            <w:tcW w:w="369" w:type="pct"/>
            <w:vMerge w:val="restar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876DE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资金管理（</w:t>
            </w:r>
            <w:r>
              <w:rPr>
                <w:rFonts w:hint="default" w:ascii="Times New Roman" w:hAnsi="Times New Roman" w:eastAsia="宋体" w:cs="Times New Roman"/>
                <w:kern w:val="0"/>
                <w:sz w:val="22"/>
                <w:szCs w:val="22"/>
                <w:lang w:val="en-US" w:eastAsia="zh-CN" w:bidi="ar"/>
              </w:rPr>
              <w:t>8</w:t>
            </w:r>
            <w:r>
              <w:rPr>
                <w:rFonts w:hint="eastAsia" w:ascii="Times New Roman" w:hAnsi="Times New Roman" w:eastAsia="宋体" w:cs="宋体"/>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FEB4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资本金到</w:t>
            </w:r>
          </w:p>
          <w:p w14:paraId="56D0B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位情况</w:t>
            </w:r>
          </w:p>
          <w:p w14:paraId="3BA10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（4分）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D0C47DE">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社会资本方资本金到位率=100%时，得2分，每低1%，扣0.02分；资本金到位及时率=100%时，得2分，每低1%，扣0.02分。</w:t>
            </w:r>
          </w:p>
          <w:p w14:paraId="32FE3F4A">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注：</w:t>
            </w:r>
          </w:p>
          <w:p w14:paraId="73A00E31">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1.资本金到位率=实际到位资本金金额÷应到位资本金金额；</w:t>
            </w:r>
          </w:p>
          <w:p w14:paraId="2DABB2F4">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2.资本金到位及时率=及时到位资本金金额÷应到位资本金金额。</w:t>
            </w:r>
          </w:p>
        </w:tc>
      </w:tr>
      <w:tr w14:paraId="52E7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A575BC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1B727D1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BACF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融资资金到位情况</w:t>
            </w:r>
          </w:p>
          <w:p w14:paraId="34A27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（4分）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48316FB">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项目公司融资资金到位率=100%时，得2分，每低1%，扣0.02分；融资资金到位及时率=100%时，得2分，每低1%，扣0.02分。</w:t>
            </w:r>
          </w:p>
          <w:p w14:paraId="36FBC209">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注：</w:t>
            </w:r>
          </w:p>
          <w:p w14:paraId="4D27A3DA">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1.融资资金到位率=实际到位融资资金金额÷应到位融资资金金额；</w:t>
            </w:r>
          </w:p>
          <w:p w14:paraId="122D9BA9">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2.融资资金到位及时率=及时到位融资资金金额÷应到位融资资金金额。</w:t>
            </w:r>
          </w:p>
        </w:tc>
      </w:tr>
      <w:tr w14:paraId="5698C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55DAB0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271EB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档案管理（</w:t>
            </w:r>
            <w:r>
              <w:rPr>
                <w:rFonts w:hint="default" w:ascii="Times New Roman" w:hAnsi="Times New Roman" w:eastAsia="宋体" w:cs="Times New Roman"/>
                <w:kern w:val="0"/>
                <w:sz w:val="22"/>
                <w:szCs w:val="22"/>
                <w:lang w:val="en-US" w:eastAsia="zh-CN" w:bidi="ar"/>
              </w:rPr>
              <w:t>3</w:t>
            </w:r>
            <w:r>
              <w:rPr>
                <w:rFonts w:hint="eastAsia" w:ascii="Times New Roman" w:hAnsi="Times New Roman" w:eastAsia="宋体" w:cs="宋体"/>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9B7C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项目资料完整性</w:t>
            </w:r>
          </w:p>
          <w:p w14:paraId="44C44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0"/>
                <w:lang w:val="en-US"/>
              </w:rPr>
            </w:pPr>
            <w:r>
              <w:rPr>
                <w:rFonts w:hint="eastAsia" w:ascii="Times New Roman" w:hAnsi="Times New Roman" w:eastAsia="宋体" w:cs="宋体"/>
                <w:kern w:val="0"/>
                <w:sz w:val="22"/>
                <w:szCs w:val="20"/>
                <w:lang w:val="en-US" w:eastAsia="zh-CN" w:bidi="ar"/>
              </w:rPr>
              <w:t>（</w:t>
            </w:r>
            <w:r>
              <w:rPr>
                <w:rFonts w:hint="default" w:ascii="Times New Roman" w:hAnsi="Times New Roman" w:eastAsia="宋体" w:cs="Times New Roman"/>
                <w:kern w:val="0"/>
                <w:sz w:val="22"/>
                <w:szCs w:val="20"/>
                <w:lang w:val="en-US" w:eastAsia="zh-CN" w:bidi="ar"/>
              </w:rPr>
              <w:t>3</w:t>
            </w:r>
            <w:r>
              <w:rPr>
                <w:rFonts w:hint="eastAsia" w:ascii="Times New Roman" w:hAnsi="Times New Roman" w:eastAsia="宋体" w:cs="宋体"/>
                <w:kern w:val="0"/>
                <w:sz w:val="22"/>
                <w:szCs w:val="20"/>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33BF106">
            <w:pPr>
              <w:keepNext w:val="0"/>
              <w:keepLines w:val="0"/>
              <w:widowControl/>
              <w:suppressLineNumbers w:val="0"/>
              <w:spacing w:before="0" w:beforeAutospacing="0" w:after="0" w:afterAutospacing="0"/>
              <w:ind w:left="143" w:leftChars="51" w:right="0"/>
              <w:jc w:val="left"/>
              <w:textAlignment w:val="center"/>
              <w:rPr>
                <w:rFonts w:hint="eastAsia" w:ascii="宋体" w:hAnsi="宋体" w:eastAsia="宋体" w:cs="宋体"/>
                <w:kern w:val="0"/>
                <w:sz w:val="22"/>
                <w:szCs w:val="22"/>
                <w:lang w:val="en-US"/>
              </w:rPr>
            </w:pPr>
            <w:r>
              <w:rPr>
                <w:rFonts w:hint="eastAsia" w:ascii="宋体" w:hAnsi="宋体" w:eastAsia="宋体" w:cs="宋体"/>
                <w:kern w:val="0"/>
                <w:sz w:val="22"/>
                <w:szCs w:val="22"/>
                <w:lang w:val="en-US" w:eastAsia="zh-CN" w:bidi="ar"/>
              </w:rPr>
              <w:t>项目公司工程建设资料不完备，存在应归未归的，每发生一项扣0.2分；工程项目档案编制不符合档案验收标准，不能通过档案专项验收的，本项不得分。</w:t>
            </w:r>
          </w:p>
        </w:tc>
      </w:tr>
      <w:tr w14:paraId="4DBF8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305" w:type="pct"/>
            <w:vMerge w:val="continue"/>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4C01AE6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69"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5B84D2C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2"/>
                <w:lang w:val="en-US"/>
              </w:rPr>
            </w:pPr>
            <w:r>
              <w:rPr>
                <w:rFonts w:hint="eastAsia" w:ascii="Times New Roman" w:hAnsi="Times New Roman" w:eastAsia="宋体" w:cs="宋体"/>
                <w:kern w:val="0"/>
                <w:sz w:val="22"/>
                <w:szCs w:val="22"/>
                <w:lang w:val="en-US" w:eastAsia="zh-CN" w:bidi="ar"/>
              </w:rPr>
              <w:t>组织管理（</w:t>
            </w:r>
            <w:r>
              <w:rPr>
                <w:rFonts w:hint="default" w:ascii="Times New Roman" w:hAnsi="Times New Roman" w:eastAsia="宋体" w:cs="Times New Roman"/>
                <w:kern w:val="0"/>
                <w:sz w:val="22"/>
                <w:szCs w:val="22"/>
                <w:lang w:val="en-US" w:eastAsia="zh-CN" w:bidi="ar"/>
              </w:rPr>
              <w:t>3</w:t>
            </w:r>
            <w:r>
              <w:rPr>
                <w:rFonts w:hint="eastAsia" w:ascii="Times New Roman" w:hAnsi="Times New Roman" w:eastAsia="宋体" w:cs="宋体"/>
                <w:kern w:val="0"/>
                <w:sz w:val="22"/>
                <w:szCs w:val="22"/>
                <w:lang w:val="en-US" w:eastAsia="zh-CN" w:bidi="ar"/>
              </w:rPr>
              <w:t>分）</w:t>
            </w:r>
          </w:p>
        </w:tc>
        <w:tc>
          <w:tcPr>
            <w:tcW w:w="642" w:type="pct"/>
            <w:tcBorders>
              <w:top w:val="single" w:color="auto" w:sz="4" w:space="0"/>
              <w:left w:val="single" w:color="auto" w:sz="4" w:space="0"/>
              <w:bottom w:val="single" w:color="auto" w:sz="4" w:space="0"/>
              <w:right w:val="nil"/>
            </w:tcBorders>
            <w:shd w:val="clear" w:color="auto" w:fill="auto"/>
            <w:tcMar>
              <w:top w:w="15" w:type="dxa"/>
              <w:left w:w="15" w:type="dxa"/>
              <w:bottom w:w="15" w:type="dxa"/>
              <w:right w:w="15" w:type="dxa"/>
            </w:tcMar>
            <w:vAlign w:val="center"/>
          </w:tcPr>
          <w:p w14:paraId="3712A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2"/>
                <w:szCs w:val="20"/>
                <w:lang w:val="en-US"/>
              </w:rPr>
            </w:pPr>
            <w:r>
              <w:rPr>
                <w:rFonts w:hint="eastAsia" w:ascii="Times New Roman" w:hAnsi="Times New Roman" w:eastAsia="宋体" w:cs="宋体"/>
                <w:kern w:val="0"/>
                <w:sz w:val="22"/>
                <w:szCs w:val="20"/>
                <w:lang w:val="en-US" w:eastAsia="zh-CN" w:bidi="ar"/>
              </w:rPr>
              <w:t>组织架构（</w:t>
            </w:r>
            <w:r>
              <w:rPr>
                <w:rFonts w:hint="default" w:ascii="Times New Roman" w:hAnsi="Times New Roman" w:eastAsia="宋体" w:cs="Times New Roman"/>
                <w:kern w:val="0"/>
                <w:sz w:val="22"/>
                <w:szCs w:val="20"/>
                <w:lang w:val="en-US" w:eastAsia="zh-CN" w:bidi="ar"/>
              </w:rPr>
              <w:t>3</w:t>
            </w:r>
            <w:r>
              <w:rPr>
                <w:rFonts w:hint="eastAsia" w:ascii="Times New Roman" w:hAnsi="Times New Roman" w:eastAsia="宋体" w:cs="宋体"/>
                <w:kern w:val="0"/>
                <w:sz w:val="22"/>
                <w:szCs w:val="20"/>
                <w:lang w:val="en-US" w:eastAsia="zh-CN" w:bidi="ar"/>
              </w:rPr>
              <w:t>分）</w:t>
            </w:r>
          </w:p>
        </w:tc>
        <w:tc>
          <w:tcPr>
            <w:tcW w:w="36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2D4E821">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kern w:val="0"/>
                <w:sz w:val="22"/>
                <w:szCs w:val="20"/>
                <w:lang w:val="en-US"/>
              </w:rPr>
            </w:pPr>
            <w:r>
              <w:rPr>
                <w:rFonts w:hint="eastAsia" w:ascii="宋体" w:hAnsi="宋体" w:eastAsia="宋体" w:cs="宋体"/>
                <w:kern w:val="0"/>
                <w:sz w:val="22"/>
                <w:szCs w:val="22"/>
                <w:lang w:val="en-US" w:eastAsia="zh-CN" w:bidi="ar"/>
              </w:rPr>
              <w:t>项目公司部门设置、组织架构体系，如股东会、董事会、监事会/监事、高级管理人员等治理结构不完整，部门职责及对应岗位职责不明确的，每发现一项扣0.3分。</w:t>
            </w:r>
          </w:p>
        </w:tc>
      </w:tr>
    </w:tbl>
    <w:p w14:paraId="0D420F0C">
      <w:pPr>
        <w:sectPr>
          <w:pgSz w:w="16838" w:h="11906" w:orient="landscape"/>
          <w:pgMar w:top="720" w:right="720" w:bottom="720" w:left="720" w:header="851" w:footer="992" w:gutter="0"/>
          <w:cols w:space="425" w:num="1"/>
          <w:titlePg/>
          <w:docGrid w:type="lines" w:linePitch="312" w:charSpace="0"/>
        </w:sectPr>
      </w:pPr>
    </w:p>
    <w:p w14:paraId="6F4BE3A4">
      <w:pPr>
        <w:keepNext w:val="0"/>
        <w:keepLines w:val="0"/>
        <w:pageBreakBefore w:val="0"/>
        <w:widowControl w:val="0"/>
        <w:numPr>
          <w:ilvl w:val="0"/>
          <w:numId w:val="91"/>
        </w:numPr>
        <w:kinsoku/>
        <w:wordWrap/>
        <w:overflowPunct/>
        <w:topLinePunct w:val="0"/>
        <w:autoSpaceDE/>
        <w:autoSpaceDN/>
        <w:bidi w:val="0"/>
        <w:adjustRightInd/>
        <w:snapToGrid/>
        <w:ind w:left="454" w:leftChars="0" w:hanging="454" w:firstLineChars="0"/>
        <w:textAlignment w:val="auto"/>
        <w:outlineLvl w:val="4"/>
        <w:rPr>
          <w:rFonts w:hint="default"/>
          <w:lang w:val="en-US" w:eastAsia="zh-CN"/>
        </w:rPr>
      </w:pPr>
      <w:r>
        <w:rPr>
          <w:rFonts w:hint="eastAsia"/>
          <w:lang w:val="en-US" w:eastAsia="zh-CN"/>
        </w:rPr>
        <w:t>运营期绩效评价表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75"/>
        <w:gridCol w:w="910"/>
        <w:gridCol w:w="983"/>
        <w:gridCol w:w="2670"/>
        <w:gridCol w:w="972"/>
        <w:gridCol w:w="3565"/>
        <w:gridCol w:w="5250"/>
      </w:tblGrid>
      <w:tr w14:paraId="57E9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5F40C77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444240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一级指标</w:t>
            </w:r>
          </w:p>
        </w:tc>
        <w:tc>
          <w:tcPr>
            <w:tcW w:w="363" w:type="pct"/>
            <w:shd w:val="clear" w:color="auto" w:fill="auto"/>
            <w:noWrap/>
            <w:tcMar>
              <w:top w:w="15" w:type="dxa"/>
              <w:left w:w="15" w:type="dxa"/>
              <w:right w:w="15" w:type="dxa"/>
            </w:tcMar>
            <w:vAlign w:val="center"/>
          </w:tcPr>
          <w:p w14:paraId="22C3E1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二级指标</w:t>
            </w:r>
          </w:p>
        </w:tc>
        <w:tc>
          <w:tcPr>
            <w:tcW w:w="867" w:type="pct"/>
            <w:shd w:val="clear" w:color="auto" w:fill="auto"/>
            <w:noWrap/>
            <w:tcMar>
              <w:top w:w="15" w:type="dxa"/>
              <w:left w:w="15" w:type="dxa"/>
              <w:right w:w="15" w:type="dxa"/>
            </w:tcMar>
            <w:vAlign w:val="center"/>
          </w:tcPr>
          <w:p w14:paraId="113AB01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三级指标</w:t>
            </w:r>
          </w:p>
        </w:tc>
        <w:tc>
          <w:tcPr>
            <w:tcW w:w="316" w:type="pct"/>
            <w:shd w:val="clear" w:color="auto" w:fill="auto"/>
            <w:noWrap/>
            <w:tcMar>
              <w:top w:w="15" w:type="dxa"/>
              <w:left w:w="15" w:type="dxa"/>
              <w:right w:w="15" w:type="dxa"/>
            </w:tcMar>
            <w:vAlign w:val="center"/>
          </w:tcPr>
          <w:p w14:paraId="5931024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分值</w:t>
            </w:r>
            <w:r>
              <w:rPr>
                <w:rFonts w:hint="default" w:ascii="Times New Roman" w:hAnsi="Times New Roman" w:eastAsia="宋体" w:cs="宋体"/>
                <w:kern w:val="2"/>
                <w:sz w:val="22"/>
                <w:szCs w:val="22"/>
                <w:lang w:val="en-US" w:eastAsia="zh-CN" w:bidi="ar"/>
              </w:rPr>
              <w:t>/</w:t>
            </w:r>
            <w:r>
              <w:rPr>
                <w:rFonts w:hint="eastAsia" w:ascii="Times New Roman" w:hAnsi="Times New Roman" w:eastAsia="宋体" w:cs="宋体"/>
                <w:kern w:val="2"/>
                <w:sz w:val="22"/>
                <w:szCs w:val="22"/>
                <w:lang w:val="en-US" w:eastAsia="zh-CN" w:bidi="ar"/>
              </w:rPr>
              <w:t>权重</w:t>
            </w:r>
          </w:p>
        </w:tc>
        <w:tc>
          <w:tcPr>
            <w:tcW w:w="1221" w:type="pct"/>
            <w:shd w:val="clear" w:color="auto" w:fill="auto"/>
            <w:tcMar>
              <w:top w:w="15" w:type="dxa"/>
              <w:left w:w="15" w:type="dxa"/>
              <w:right w:w="15" w:type="dxa"/>
            </w:tcMar>
            <w:vAlign w:val="center"/>
          </w:tcPr>
          <w:p w14:paraId="2FDC83A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指标解释</w:t>
            </w:r>
          </w:p>
        </w:tc>
        <w:tc>
          <w:tcPr>
            <w:tcW w:w="1724" w:type="pct"/>
            <w:shd w:val="clear" w:color="auto" w:fill="auto"/>
            <w:tcMar>
              <w:top w:w="15" w:type="dxa"/>
              <w:left w:w="15" w:type="dxa"/>
              <w:right w:w="15" w:type="dxa"/>
            </w:tcMar>
            <w:vAlign w:val="center"/>
          </w:tcPr>
          <w:p w14:paraId="72E3265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评价标准</w:t>
            </w:r>
          </w:p>
        </w:tc>
      </w:tr>
      <w:tr w14:paraId="2634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1AB4D36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项目公司</w:t>
            </w:r>
          </w:p>
          <w:p w14:paraId="4E80A4C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绩效评价</w:t>
            </w:r>
          </w:p>
          <w:p w14:paraId="23D3C2F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w:t>
            </w:r>
            <w:r>
              <w:rPr>
                <w:rFonts w:hint="default" w:ascii="Times New Roman" w:hAnsi="Times New Roman" w:eastAsia="宋体" w:cs="宋体"/>
                <w:kern w:val="2"/>
                <w:sz w:val="22"/>
                <w:szCs w:val="22"/>
                <w:lang w:val="en-US" w:eastAsia="zh-CN" w:bidi="ar"/>
              </w:rPr>
              <w:t>100</w:t>
            </w:r>
            <w:r>
              <w:rPr>
                <w:rFonts w:hint="eastAsia" w:ascii="Times New Roman" w:hAnsi="Times New Roman" w:eastAsia="宋体" w:cs="宋体"/>
                <w:kern w:val="2"/>
                <w:sz w:val="22"/>
                <w:szCs w:val="22"/>
                <w:lang w:val="en-US" w:eastAsia="zh-CN" w:bidi="ar"/>
              </w:rPr>
              <w:t>分）</w:t>
            </w:r>
          </w:p>
        </w:tc>
        <w:tc>
          <w:tcPr>
            <w:tcW w:w="296" w:type="pct"/>
            <w:shd w:val="clear" w:color="auto" w:fill="auto"/>
            <w:noWrap/>
            <w:tcMar>
              <w:top w:w="15" w:type="dxa"/>
              <w:left w:w="15" w:type="dxa"/>
              <w:right w:w="15" w:type="dxa"/>
            </w:tcMar>
            <w:vAlign w:val="center"/>
          </w:tcPr>
          <w:p w14:paraId="7660B3D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产出</w:t>
            </w:r>
          </w:p>
        </w:tc>
        <w:tc>
          <w:tcPr>
            <w:tcW w:w="363" w:type="pct"/>
            <w:shd w:val="clear" w:color="auto" w:fill="auto"/>
            <w:noWrap/>
            <w:tcMar>
              <w:top w:w="15" w:type="dxa"/>
              <w:left w:w="15" w:type="dxa"/>
              <w:right w:w="15" w:type="dxa"/>
            </w:tcMar>
            <w:vAlign w:val="center"/>
          </w:tcPr>
          <w:p w14:paraId="4F7AB1F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项目运营</w:t>
            </w:r>
          </w:p>
        </w:tc>
        <w:tc>
          <w:tcPr>
            <w:tcW w:w="867" w:type="pct"/>
            <w:shd w:val="clear" w:color="auto" w:fill="auto"/>
            <w:noWrap/>
            <w:tcMar>
              <w:top w:w="15" w:type="dxa"/>
              <w:left w:w="15" w:type="dxa"/>
              <w:right w:w="15" w:type="dxa"/>
            </w:tcMar>
            <w:vAlign w:val="center"/>
          </w:tcPr>
          <w:p w14:paraId="6AFB74D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垃圾计量</w:t>
            </w:r>
          </w:p>
        </w:tc>
        <w:tc>
          <w:tcPr>
            <w:tcW w:w="316" w:type="pct"/>
            <w:shd w:val="clear" w:color="auto" w:fill="auto"/>
            <w:noWrap/>
            <w:tcMar>
              <w:top w:w="15" w:type="dxa"/>
              <w:left w:w="15" w:type="dxa"/>
              <w:right w:w="15" w:type="dxa"/>
            </w:tcMar>
            <w:vAlign w:val="center"/>
          </w:tcPr>
          <w:p w14:paraId="7775ECB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38B4CB3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符合本表下方注释</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垃圾进厂车辆管理及垃圾计量要求</w:t>
            </w:r>
            <w:r>
              <w:rPr>
                <w:rFonts w:hint="default" w:ascii="Times New Roman" w:hAnsi="Times New Roman" w:eastAsia="宋体" w:cs="宋体"/>
                <w:kern w:val="2"/>
                <w:sz w:val="22"/>
                <w:szCs w:val="22"/>
                <w:lang w:val="en-US" w:eastAsia="zh-CN" w:bidi="ar"/>
              </w:rPr>
              <w:t>”</w:t>
            </w:r>
          </w:p>
        </w:tc>
        <w:tc>
          <w:tcPr>
            <w:tcW w:w="1724" w:type="pct"/>
            <w:shd w:val="clear" w:color="auto" w:fill="auto"/>
            <w:tcMar>
              <w:top w:w="15" w:type="dxa"/>
              <w:left w:w="15" w:type="dxa"/>
              <w:right w:w="15" w:type="dxa"/>
            </w:tcMar>
            <w:vAlign w:val="center"/>
          </w:tcPr>
          <w:p w14:paraId="7536B09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符合要求，得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171A19A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不太符合要求，对计量结果未产生重要影响，得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7ABB92F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不符合要求，严重影响计量结果，得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671E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6FBC52B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566A53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7246B96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6564208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垃圾处理量</w:t>
            </w:r>
          </w:p>
        </w:tc>
        <w:tc>
          <w:tcPr>
            <w:tcW w:w="316" w:type="pct"/>
            <w:shd w:val="clear" w:color="auto" w:fill="auto"/>
            <w:noWrap/>
            <w:tcMar>
              <w:top w:w="15" w:type="dxa"/>
              <w:left w:w="15" w:type="dxa"/>
              <w:right w:w="15" w:type="dxa"/>
            </w:tcMar>
            <w:vAlign w:val="center"/>
          </w:tcPr>
          <w:p w14:paraId="5E7EE6F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2</w:t>
            </w:r>
          </w:p>
        </w:tc>
        <w:tc>
          <w:tcPr>
            <w:tcW w:w="1221" w:type="pct"/>
            <w:shd w:val="clear" w:color="auto" w:fill="auto"/>
            <w:tcMar>
              <w:top w:w="15" w:type="dxa"/>
              <w:left w:w="15" w:type="dxa"/>
              <w:right w:w="15" w:type="dxa"/>
            </w:tcMar>
            <w:vAlign w:val="center"/>
          </w:tcPr>
          <w:p w14:paraId="30F05DD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月平均日处理量低于</w:t>
            </w:r>
            <w:r>
              <w:rPr>
                <w:rFonts w:hint="default" w:ascii="Times New Roman" w:hAnsi="Times New Roman" w:eastAsia="宋体" w:cs="宋体"/>
                <w:kern w:val="2"/>
                <w:sz w:val="22"/>
                <w:szCs w:val="22"/>
                <w:lang w:val="en-US" w:eastAsia="zh-CN" w:bidi="ar"/>
              </w:rPr>
              <w:t>0.7</w:t>
            </w:r>
            <w:r>
              <w:rPr>
                <w:rFonts w:hint="eastAsia" w:ascii="Times New Roman" w:hAnsi="Times New Roman" w:eastAsia="宋体" w:cs="宋体"/>
                <w:kern w:val="2"/>
                <w:sz w:val="22"/>
                <w:szCs w:val="22"/>
                <w:lang w:val="en-US" w:eastAsia="zh-CN" w:bidi="ar"/>
              </w:rPr>
              <w:t>倍额定日处理量（大修期不参加日平均计算）</w:t>
            </w:r>
          </w:p>
        </w:tc>
        <w:tc>
          <w:tcPr>
            <w:tcW w:w="1724" w:type="pct"/>
            <w:shd w:val="clear" w:color="auto" w:fill="auto"/>
            <w:tcMar>
              <w:top w:w="15" w:type="dxa"/>
              <w:left w:w="15" w:type="dxa"/>
              <w:right w:w="15" w:type="dxa"/>
            </w:tcMar>
            <w:vAlign w:val="center"/>
          </w:tcPr>
          <w:p w14:paraId="3133F2F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符合要求，得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0353904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非合理原因垃圾处理量低于额定处理量的</w:t>
            </w:r>
            <w:r>
              <w:rPr>
                <w:rFonts w:hint="default" w:ascii="Times New Roman" w:hAnsi="Times New Roman" w:eastAsia="宋体" w:cs="宋体"/>
                <w:kern w:val="2"/>
                <w:sz w:val="22"/>
                <w:szCs w:val="22"/>
                <w:lang w:val="en-US" w:eastAsia="zh-CN" w:bidi="ar"/>
              </w:rPr>
              <w:t>0.7</w:t>
            </w:r>
            <w:r>
              <w:rPr>
                <w:rFonts w:hint="eastAsia" w:ascii="Times New Roman" w:hAnsi="Times New Roman" w:eastAsia="宋体" w:cs="宋体"/>
                <w:kern w:val="2"/>
                <w:sz w:val="22"/>
                <w:szCs w:val="22"/>
                <w:lang w:val="en-US" w:eastAsia="zh-CN" w:bidi="ar"/>
              </w:rPr>
              <w:t>倍按相差程度适当扣减，扣完为止。</w:t>
            </w:r>
          </w:p>
        </w:tc>
      </w:tr>
      <w:tr w14:paraId="4BD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4D7537C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1B9BCB9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70B1413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47A845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垃圾池臭味控制</w:t>
            </w:r>
          </w:p>
        </w:tc>
        <w:tc>
          <w:tcPr>
            <w:tcW w:w="316" w:type="pct"/>
            <w:shd w:val="clear" w:color="auto" w:fill="auto"/>
            <w:noWrap/>
            <w:tcMar>
              <w:top w:w="15" w:type="dxa"/>
              <w:left w:w="15" w:type="dxa"/>
              <w:right w:w="15" w:type="dxa"/>
            </w:tcMar>
            <w:vAlign w:val="center"/>
          </w:tcPr>
          <w:p w14:paraId="1DF9926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6F35C83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全月每天臭味控制效果良好，厂区无明显臭味（因厂区红线外周边设施产生臭味则查明原因后免除相应考核）</w:t>
            </w:r>
          </w:p>
        </w:tc>
        <w:tc>
          <w:tcPr>
            <w:tcW w:w="1724" w:type="pct"/>
            <w:shd w:val="clear" w:color="auto" w:fill="auto"/>
            <w:tcMar>
              <w:top w:w="15" w:type="dxa"/>
              <w:left w:w="15" w:type="dxa"/>
              <w:right w:w="15" w:type="dxa"/>
            </w:tcMar>
            <w:vAlign w:val="center"/>
          </w:tcPr>
          <w:p w14:paraId="419F334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厂区无明显臭味，得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246804A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厂区有轻度臭味，得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77B40D3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厂区有严重臭味，得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2FC0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601E80C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FC80E5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378011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1EE3BC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卸料大厅环境</w:t>
            </w:r>
          </w:p>
        </w:tc>
        <w:tc>
          <w:tcPr>
            <w:tcW w:w="316" w:type="pct"/>
            <w:shd w:val="clear" w:color="auto" w:fill="auto"/>
            <w:noWrap/>
            <w:tcMar>
              <w:top w:w="15" w:type="dxa"/>
              <w:left w:w="15" w:type="dxa"/>
              <w:right w:w="15" w:type="dxa"/>
            </w:tcMar>
            <w:vAlign w:val="center"/>
          </w:tcPr>
          <w:p w14:paraId="20B4BD8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46952E3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所有运行日均保持清洁</w:t>
            </w:r>
          </w:p>
        </w:tc>
        <w:tc>
          <w:tcPr>
            <w:tcW w:w="1724" w:type="pct"/>
            <w:shd w:val="clear" w:color="auto" w:fill="auto"/>
            <w:tcMar>
              <w:top w:w="15" w:type="dxa"/>
              <w:left w:w="15" w:type="dxa"/>
              <w:right w:w="15" w:type="dxa"/>
            </w:tcMar>
            <w:vAlign w:val="center"/>
          </w:tcPr>
          <w:p w14:paraId="45E1FEF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所有运行日均保持清洁，得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64422E7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考核时发现少量垃圾散落或堆积，扣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4B5AA05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考核时发现大量垃圾散落或堆积，扣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tc>
      </w:tr>
      <w:tr w14:paraId="4E56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14DFDFE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12E9478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0F86D0F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6768681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炉膛负压控制</w:t>
            </w:r>
          </w:p>
        </w:tc>
        <w:tc>
          <w:tcPr>
            <w:tcW w:w="316" w:type="pct"/>
            <w:shd w:val="clear" w:color="auto" w:fill="auto"/>
            <w:noWrap/>
            <w:tcMar>
              <w:top w:w="15" w:type="dxa"/>
              <w:left w:w="15" w:type="dxa"/>
              <w:right w:w="15" w:type="dxa"/>
            </w:tcMar>
            <w:vAlign w:val="center"/>
          </w:tcPr>
          <w:p w14:paraId="5E40835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57DD568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炉膛负压每日均值保持微负压</w:t>
            </w:r>
          </w:p>
        </w:tc>
        <w:tc>
          <w:tcPr>
            <w:tcW w:w="1724" w:type="pct"/>
            <w:shd w:val="clear" w:color="auto" w:fill="auto"/>
            <w:tcMar>
              <w:top w:w="15" w:type="dxa"/>
              <w:left w:w="15" w:type="dxa"/>
              <w:right w:w="15" w:type="dxa"/>
            </w:tcMar>
            <w:vAlign w:val="center"/>
          </w:tcPr>
          <w:p w14:paraId="46943D8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炉膛每天均保持微负压，得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71BFB97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每月发现一次存在正压日均值的记录，扣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分，扣完为止。</w:t>
            </w:r>
          </w:p>
        </w:tc>
      </w:tr>
      <w:tr w14:paraId="0AA1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2A096AB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D3A353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021B8D5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14D08AD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炉膛温度</w:t>
            </w:r>
          </w:p>
        </w:tc>
        <w:tc>
          <w:tcPr>
            <w:tcW w:w="316" w:type="pct"/>
            <w:shd w:val="clear" w:color="auto" w:fill="auto"/>
            <w:noWrap/>
            <w:tcMar>
              <w:top w:w="15" w:type="dxa"/>
              <w:left w:w="15" w:type="dxa"/>
              <w:right w:w="15" w:type="dxa"/>
            </w:tcMar>
            <w:vAlign w:val="center"/>
          </w:tcPr>
          <w:p w14:paraId="568F379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5</w:t>
            </w:r>
          </w:p>
        </w:tc>
        <w:tc>
          <w:tcPr>
            <w:tcW w:w="1221" w:type="pct"/>
            <w:shd w:val="clear" w:color="auto" w:fill="auto"/>
            <w:tcMar>
              <w:top w:w="15" w:type="dxa"/>
              <w:left w:w="15" w:type="dxa"/>
              <w:right w:w="15" w:type="dxa"/>
            </w:tcMar>
            <w:vAlign w:val="center"/>
          </w:tcPr>
          <w:p w14:paraId="136BE6C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炉膛日平均温度始终保持不低于</w:t>
            </w:r>
            <w:r>
              <w:rPr>
                <w:rFonts w:hint="default" w:ascii="Times New Roman" w:hAnsi="Times New Roman" w:eastAsia="宋体" w:cs="宋体"/>
                <w:kern w:val="2"/>
                <w:sz w:val="22"/>
                <w:szCs w:val="22"/>
                <w:lang w:val="en-US" w:eastAsia="zh-CN" w:bidi="ar"/>
              </w:rPr>
              <w:t>850°C</w:t>
            </w:r>
            <w:r>
              <w:rPr>
                <w:rFonts w:hint="eastAsia" w:ascii="Times New Roman" w:hAnsi="Times New Roman" w:eastAsia="宋体" w:cs="宋体"/>
                <w:kern w:val="2"/>
                <w:sz w:val="22"/>
                <w:szCs w:val="22"/>
                <w:lang w:val="en-US" w:eastAsia="zh-CN" w:bidi="ar"/>
              </w:rPr>
              <w:t>（设备异常工况造成燃烧恶化情况除外）</w:t>
            </w:r>
          </w:p>
        </w:tc>
        <w:tc>
          <w:tcPr>
            <w:tcW w:w="1724" w:type="pct"/>
            <w:shd w:val="clear" w:color="auto" w:fill="auto"/>
            <w:tcMar>
              <w:top w:w="15" w:type="dxa"/>
              <w:left w:w="15" w:type="dxa"/>
              <w:right w:w="15" w:type="dxa"/>
            </w:tcMar>
            <w:vAlign w:val="center"/>
          </w:tcPr>
          <w:p w14:paraId="27E5A70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在环保标记平台内无督办事项，得</w:t>
            </w:r>
            <w:r>
              <w:rPr>
                <w:rFonts w:hint="default" w:ascii="Times New Roman" w:hAnsi="Times New Roman" w:eastAsia="宋体" w:cs="宋体"/>
                <w:kern w:val="2"/>
                <w:sz w:val="22"/>
                <w:szCs w:val="22"/>
                <w:lang w:val="en-US" w:eastAsia="zh-CN" w:bidi="ar"/>
              </w:rPr>
              <w:t>5</w:t>
            </w:r>
            <w:r>
              <w:rPr>
                <w:rFonts w:hint="eastAsia" w:ascii="Times New Roman" w:hAnsi="Times New Roman" w:eastAsia="宋体" w:cs="宋体"/>
                <w:kern w:val="2"/>
                <w:sz w:val="22"/>
                <w:szCs w:val="22"/>
                <w:lang w:val="en-US" w:eastAsia="zh-CN" w:bidi="ar"/>
              </w:rPr>
              <w:t>分；</w:t>
            </w:r>
          </w:p>
          <w:p w14:paraId="4DB703A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在环保标记平台内每发现一次督办事项，扣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分，扣完为止。</w:t>
            </w:r>
          </w:p>
        </w:tc>
      </w:tr>
      <w:tr w14:paraId="3DF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639B66C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2EE8C57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6AD2D6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7EE44CC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炉渣热灼减率</w:t>
            </w:r>
          </w:p>
        </w:tc>
        <w:tc>
          <w:tcPr>
            <w:tcW w:w="316" w:type="pct"/>
            <w:shd w:val="clear" w:color="auto" w:fill="auto"/>
            <w:noWrap/>
            <w:tcMar>
              <w:top w:w="15" w:type="dxa"/>
              <w:left w:w="15" w:type="dxa"/>
              <w:right w:w="15" w:type="dxa"/>
            </w:tcMar>
            <w:vAlign w:val="center"/>
          </w:tcPr>
          <w:p w14:paraId="0C132BC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6943001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始终不超过</w:t>
            </w:r>
            <w:r>
              <w:rPr>
                <w:rFonts w:hint="default" w:ascii="Times New Roman" w:hAnsi="Times New Roman" w:eastAsia="宋体" w:cs="宋体"/>
                <w:kern w:val="2"/>
                <w:sz w:val="22"/>
                <w:szCs w:val="22"/>
                <w:lang w:val="en-US" w:eastAsia="zh-CN" w:bidi="ar"/>
              </w:rPr>
              <w:t>5%</w:t>
            </w:r>
          </w:p>
        </w:tc>
        <w:tc>
          <w:tcPr>
            <w:tcW w:w="1724" w:type="pct"/>
            <w:shd w:val="clear" w:color="auto" w:fill="auto"/>
            <w:tcMar>
              <w:top w:w="15" w:type="dxa"/>
              <w:left w:w="15" w:type="dxa"/>
              <w:right w:w="15" w:type="dxa"/>
            </w:tcMar>
            <w:vAlign w:val="center"/>
          </w:tcPr>
          <w:p w14:paraId="7E68695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3D896DD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分，扣完为止。</w:t>
            </w:r>
          </w:p>
        </w:tc>
      </w:tr>
      <w:tr w14:paraId="6153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5E43516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0C999D3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4524420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8AD171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排放烟气烟尘浓度</w:t>
            </w:r>
          </w:p>
        </w:tc>
        <w:tc>
          <w:tcPr>
            <w:tcW w:w="316" w:type="pct"/>
            <w:shd w:val="clear" w:color="auto" w:fill="auto"/>
            <w:noWrap/>
            <w:tcMar>
              <w:top w:w="15" w:type="dxa"/>
              <w:left w:w="15" w:type="dxa"/>
              <w:right w:w="15" w:type="dxa"/>
            </w:tcMar>
            <w:vAlign w:val="center"/>
          </w:tcPr>
          <w:p w14:paraId="374E951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66D10F7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始终低于环评要求的排放限值</w:t>
            </w:r>
          </w:p>
        </w:tc>
        <w:tc>
          <w:tcPr>
            <w:tcW w:w="1724" w:type="pct"/>
            <w:shd w:val="clear" w:color="auto" w:fill="auto"/>
            <w:tcMar>
              <w:top w:w="15" w:type="dxa"/>
              <w:left w:w="15" w:type="dxa"/>
              <w:right w:w="15" w:type="dxa"/>
            </w:tcMar>
            <w:vAlign w:val="center"/>
          </w:tcPr>
          <w:p w14:paraId="4A92F86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0410C60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分，扣完为止。</w:t>
            </w:r>
          </w:p>
        </w:tc>
      </w:tr>
      <w:tr w14:paraId="1E53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4096F69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769E3FB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7E0502E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B18BAC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排放烟气</w:t>
            </w:r>
            <w:r>
              <w:rPr>
                <w:rFonts w:hint="default" w:ascii="Times New Roman" w:hAnsi="Times New Roman" w:eastAsia="宋体" w:cs="宋体"/>
                <w:kern w:val="2"/>
                <w:sz w:val="22"/>
                <w:szCs w:val="22"/>
                <w:lang w:val="en-US" w:eastAsia="zh-CN" w:bidi="ar"/>
              </w:rPr>
              <w:t>HCL</w:t>
            </w:r>
            <w:r>
              <w:rPr>
                <w:rFonts w:hint="eastAsia" w:ascii="Times New Roman" w:hAnsi="Times New Roman" w:eastAsia="宋体" w:cs="宋体"/>
                <w:kern w:val="2"/>
                <w:sz w:val="22"/>
                <w:szCs w:val="22"/>
                <w:lang w:val="en-US" w:eastAsia="zh-CN" w:bidi="ar"/>
              </w:rPr>
              <w:t>浓度</w:t>
            </w:r>
          </w:p>
        </w:tc>
        <w:tc>
          <w:tcPr>
            <w:tcW w:w="316" w:type="pct"/>
            <w:shd w:val="clear" w:color="auto" w:fill="auto"/>
            <w:noWrap/>
            <w:tcMar>
              <w:top w:w="15" w:type="dxa"/>
              <w:left w:w="15" w:type="dxa"/>
              <w:right w:w="15" w:type="dxa"/>
            </w:tcMar>
            <w:vAlign w:val="center"/>
          </w:tcPr>
          <w:p w14:paraId="1AC5428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3D9F01E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始终低于环评要求的排放限值</w:t>
            </w:r>
          </w:p>
        </w:tc>
        <w:tc>
          <w:tcPr>
            <w:tcW w:w="1724" w:type="pct"/>
            <w:shd w:val="clear" w:color="auto" w:fill="auto"/>
            <w:tcMar>
              <w:top w:w="15" w:type="dxa"/>
              <w:left w:w="15" w:type="dxa"/>
              <w:right w:w="15" w:type="dxa"/>
            </w:tcMar>
            <w:vAlign w:val="center"/>
          </w:tcPr>
          <w:p w14:paraId="6C95394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0E86FF6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分，扣完为止。</w:t>
            </w:r>
          </w:p>
        </w:tc>
      </w:tr>
      <w:tr w14:paraId="2EE8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3B76002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7BECEE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6B83E41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BDD259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排放烟气</w:t>
            </w:r>
            <w:r>
              <w:rPr>
                <w:rFonts w:hint="default" w:ascii="Times New Roman" w:hAnsi="Times New Roman" w:eastAsia="宋体" w:cs="宋体"/>
                <w:kern w:val="2"/>
                <w:sz w:val="22"/>
                <w:szCs w:val="22"/>
                <w:lang w:val="en-US" w:eastAsia="zh-CN" w:bidi="ar"/>
              </w:rPr>
              <w:t>SO2</w:t>
            </w:r>
            <w:r>
              <w:rPr>
                <w:rFonts w:hint="eastAsia" w:ascii="Times New Roman" w:hAnsi="Times New Roman" w:eastAsia="宋体" w:cs="宋体"/>
                <w:kern w:val="2"/>
                <w:sz w:val="22"/>
                <w:szCs w:val="22"/>
                <w:lang w:val="en-US" w:eastAsia="zh-CN" w:bidi="ar"/>
              </w:rPr>
              <w:t>浓度</w:t>
            </w:r>
          </w:p>
        </w:tc>
        <w:tc>
          <w:tcPr>
            <w:tcW w:w="316" w:type="pct"/>
            <w:shd w:val="clear" w:color="auto" w:fill="auto"/>
            <w:noWrap/>
            <w:tcMar>
              <w:top w:w="15" w:type="dxa"/>
              <w:left w:w="15" w:type="dxa"/>
              <w:right w:w="15" w:type="dxa"/>
            </w:tcMar>
            <w:vAlign w:val="center"/>
          </w:tcPr>
          <w:p w14:paraId="0BC8625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70919A3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始终低于环评要求的排放限值</w:t>
            </w:r>
          </w:p>
        </w:tc>
        <w:tc>
          <w:tcPr>
            <w:tcW w:w="1724" w:type="pct"/>
            <w:shd w:val="clear" w:color="auto" w:fill="auto"/>
            <w:tcMar>
              <w:top w:w="15" w:type="dxa"/>
              <w:left w:w="15" w:type="dxa"/>
              <w:right w:w="15" w:type="dxa"/>
            </w:tcMar>
            <w:vAlign w:val="center"/>
          </w:tcPr>
          <w:p w14:paraId="5FBFC02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6F5BEA5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分，扣完为止。</w:t>
            </w:r>
          </w:p>
        </w:tc>
      </w:tr>
      <w:tr w14:paraId="1A7B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46C7C7B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01B56CB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55FFC3B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2991075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排放烟气</w:t>
            </w:r>
            <w:r>
              <w:rPr>
                <w:rFonts w:hint="default" w:ascii="Times New Roman" w:hAnsi="Times New Roman" w:eastAsia="宋体" w:cs="宋体"/>
                <w:kern w:val="2"/>
                <w:sz w:val="22"/>
                <w:szCs w:val="22"/>
                <w:lang w:val="en-US" w:eastAsia="zh-CN" w:bidi="ar"/>
              </w:rPr>
              <w:t>CO</w:t>
            </w:r>
            <w:r>
              <w:rPr>
                <w:rFonts w:hint="eastAsia" w:ascii="Times New Roman" w:hAnsi="Times New Roman" w:eastAsia="宋体" w:cs="宋体"/>
                <w:kern w:val="2"/>
                <w:sz w:val="22"/>
                <w:szCs w:val="22"/>
                <w:lang w:val="en-US" w:eastAsia="zh-CN" w:bidi="ar"/>
              </w:rPr>
              <w:t>浓度</w:t>
            </w:r>
          </w:p>
        </w:tc>
        <w:tc>
          <w:tcPr>
            <w:tcW w:w="316" w:type="pct"/>
            <w:shd w:val="clear" w:color="auto" w:fill="auto"/>
            <w:noWrap/>
            <w:tcMar>
              <w:top w:w="15" w:type="dxa"/>
              <w:left w:w="15" w:type="dxa"/>
              <w:right w:w="15" w:type="dxa"/>
            </w:tcMar>
            <w:vAlign w:val="center"/>
          </w:tcPr>
          <w:p w14:paraId="3F36D95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66B1D14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始终低于环评要求的排放限值</w:t>
            </w:r>
          </w:p>
        </w:tc>
        <w:tc>
          <w:tcPr>
            <w:tcW w:w="1724" w:type="pct"/>
            <w:shd w:val="clear" w:color="auto" w:fill="auto"/>
            <w:tcMar>
              <w:top w:w="15" w:type="dxa"/>
              <w:left w:w="15" w:type="dxa"/>
              <w:right w:w="15" w:type="dxa"/>
            </w:tcMar>
            <w:vAlign w:val="center"/>
          </w:tcPr>
          <w:p w14:paraId="226638E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31FF276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分，扣完为止。</w:t>
            </w:r>
          </w:p>
        </w:tc>
      </w:tr>
      <w:tr w14:paraId="6C77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56F40FB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1962494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B267C3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5F16383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排放烟气</w:t>
            </w:r>
            <w:r>
              <w:rPr>
                <w:rFonts w:hint="default" w:ascii="Times New Roman" w:hAnsi="Times New Roman" w:eastAsia="宋体" w:cs="宋体"/>
                <w:kern w:val="2"/>
                <w:sz w:val="22"/>
                <w:szCs w:val="22"/>
                <w:lang w:val="en-US" w:eastAsia="zh-CN" w:bidi="ar"/>
              </w:rPr>
              <w:t>NOX</w:t>
            </w:r>
            <w:r>
              <w:rPr>
                <w:rFonts w:hint="eastAsia" w:ascii="Times New Roman" w:hAnsi="Times New Roman" w:eastAsia="宋体" w:cs="宋体"/>
                <w:kern w:val="2"/>
                <w:sz w:val="22"/>
                <w:szCs w:val="22"/>
                <w:lang w:val="en-US" w:eastAsia="zh-CN" w:bidi="ar"/>
              </w:rPr>
              <w:t>浓度</w:t>
            </w:r>
          </w:p>
        </w:tc>
        <w:tc>
          <w:tcPr>
            <w:tcW w:w="316" w:type="pct"/>
            <w:shd w:val="clear" w:color="auto" w:fill="auto"/>
            <w:noWrap/>
            <w:tcMar>
              <w:top w:w="15" w:type="dxa"/>
              <w:left w:w="15" w:type="dxa"/>
              <w:right w:w="15" w:type="dxa"/>
            </w:tcMar>
            <w:vAlign w:val="center"/>
          </w:tcPr>
          <w:p w14:paraId="493915D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42FC663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始终低于环评要求的排放限值</w:t>
            </w:r>
          </w:p>
        </w:tc>
        <w:tc>
          <w:tcPr>
            <w:tcW w:w="1724" w:type="pct"/>
            <w:shd w:val="clear" w:color="auto" w:fill="auto"/>
            <w:tcMar>
              <w:top w:w="15" w:type="dxa"/>
              <w:left w:w="15" w:type="dxa"/>
              <w:right w:w="15" w:type="dxa"/>
            </w:tcMar>
            <w:vAlign w:val="center"/>
          </w:tcPr>
          <w:p w14:paraId="4B3F2D6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始终低于标准限值，得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03FD93C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每月发现一次日均值超标，扣</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分，扣完为止。</w:t>
            </w:r>
          </w:p>
        </w:tc>
      </w:tr>
      <w:tr w14:paraId="22A8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75BCA82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2ABB14B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036FB3E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083690B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计量、测量仪表标定和检验</w:t>
            </w:r>
          </w:p>
        </w:tc>
        <w:tc>
          <w:tcPr>
            <w:tcW w:w="316" w:type="pct"/>
            <w:shd w:val="clear" w:color="auto" w:fill="auto"/>
            <w:noWrap/>
            <w:tcMar>
              <w:top w:w="15" w:type="dxa"/>
              <w:left w:w="15" w:type="dxa"/>
              <w:right w:w="15" w:type="dxa"/>
            </w:tcMar>
            <w:vAlign w:val="center"/>
          </w:tcPr>
          <w:p w14:paraId="4F63251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0C69E30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按规定周期标定、检验，并及时维修或更换</w:t>
            </w:r>
          </w:p>
        </w:tc>
        <w:tc>
          <w:tcPr>
            <w:tcW w:w="1724" w:type="pct"/>
            <w:shd w:val="clear" w:color="auto" w:fill="auto"/>
            <w:tcMar>
              <w:top w:w="15" w:type="dxa"/>
              <w:left w:w="15" w:type="dxa"/>
              <w:right w:w="15" w:type="dxa"/>
            </w:tcMar>
            <w:vAlign w:val="center"/>
          </w:tcPr>
          <w:p w14:paraId="23DA585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按规定周期标定、检验，得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33749F0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发现一次应检未检，扣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分，扣完为止。</w:t>
            </w:r>
          </w:p>
        </w:tc>
      </w:tr>
      <w:tr w14:paraId="7E6C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3A233A1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05CBF7C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2237ED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01F1D33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飞灰处理</w:t>
            </w:r>
          </w:p>
        </w:tc>
        <w:tc>
          <w:tcPr>
            <w:tcW w:w="316" w:type="pct"/>
            <w:shd w:val="clear" w:color="auto" w:fill="auto"/>
            <w:noWrap/>
            <w:tcMar>
              <w:top w:w="15" w:type="dxa"/>
              <w:left w:w="15" w:type="dxa"/>
              <w:right w:w="15" w:type="dxa"/>
            </w:tcMar>
            <w:vAlign w:val="center"/>
          </w:tcPr>
          <w:p w14:paraId="15802BF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5</w:t>
            </w:r>
          </w:p>
        </w:tc>
        <w:tc>
          <w:tcPr>
            <w:tcW w:w="1221" w:type="pct"/>
            <w:shd w:val="clear" w:color="auto" w:fill="auto"/>
            <w:tcMar>
              <w:top w:w="15" w:type="dxa"/>
              <w:left w:w="15" w:type="dxa"/>
              <w:right w:w="15" w:type="dxa"/>
            </w:tcMar>
            <w:vAlign w:val="center"/>
          </w:tcPr>
          <w:p w14:paraId="4CDC217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、稳定固化后全部满足进入生活垃圾卫生填埋场的浸出毒性要求</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、卫生填埋场处理登记量与焚烧厂出厂登记量相等</w:t>
            </w:r>
          </w:p>
        </w:tc>
        <w:tc>
          <w:tcPr>
            <w:tcW w:w="1724" w:type="pct"/>
            <w:shd w:val="clear" w:color="auto" w:fill="auto"/>
            <w:tcMar>
              <w:top w:w="15" w:type="dxa"/>
              <w:left w:w="15" w:type="dxa"/>
              <w:right w:w="15" w:type="dxa"/>
            </w:tcMar>
            <w:vAlign w:val="center"/>
          </w:tcPr>
          <w:p w14:paraId="478810B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飞灰处理满足要求，得</w:t>
            </w:r>
            <w:r>
              <w:rPr>
                <w:rFonts w:hint="default" w:ascii="Times New Roman" w:hAnsi="Times New Roman" w:eastAsia="宋体" w:cs="宋体"/>
                <w:kern w:val="2"/>
                <w:sz w:val="22"/>
                <w:szCs w:val="22"/>
                <w:lang w:val="en-US" w:eastAsia="zh-CN" w:bidi="ar"/>
              </w:rPr>
              <w:t>5</w:t>
            </w:r>
            <w:r>
              <w:rPr>
                <w:rFonts w:hint="eastAsia" w:ascii="Times New Roman" w:hAnsi="Times New Roman" w:eastAsia="宋体" w:cs="宋体"/>
                <w:kern w:val="2"/>
                <w:sz w:val="22"/>
                <w:szCs w:val="22"/>
                <w:lang w:val="en-US" w:eastAsia="zh-CN" w:bidi="ar"/>
              </w:rPr>
              <w:t>分：</w:t>
            </w:r>
          </w:p>
          <w:p w14:paraId="48F1529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不满足浸出毒性要求，或处理量与产出登记量相差较大，扣</w:t>
            </w:r>
            <w:r>
              <w:rPr>
                <w:rFonts w:hint="default" w:ascii="Times New Roman" w:hAnsi="Times New Roman" w:eastAsia="宋体" w:cs="宋体"/>
                <w:kern w:val="2"/>
                <w:sz w:val="22"/>
                <w:szCs w:val="22"/>
                <w:lang w:val="en-US" w:eastAsia="zh-CN" w:bidi="ar"/>
              </w:rPr>
              <w:t>5</w:t>
            </w:r>
            <w:r>
              <w:rPr>
                <w:rFonts w:hint="eastAsia" w:ascii="Times New Roman" w:hAnsi="Times New Roman" w:eastAsia="宋体" w:cs="宋体"/>
                <w:kern w:val="2"/>
                <w:sz w:val="22"/>
                <w:szCs w:val="22"/>
                <w:lang w:val="en-US" w:eastAsia="zh-CN" w:bidi="ar"/>
              </w:rPr>
              <w:t>分。</w:t>
            </w:r>
          </w:p>
        </w:tc>
      </w:tr>
      <w:tr w14:paraId="7B92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4FDF1C8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766BDF7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0BDB93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48D3C14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渗沥液及工业废水处理</w:t>
            </w:r>
          </w:p>
        </w:tc>
        <w:tc>
          <w:tcPr>
            <w:tcW w:w="316" w:type="pct"/>
            <w:shd w:val="clear" w:color="auto" w:fill="auto"/>
            <w:noWrap/>
            <w:tcMar>
              <w:top w:w="15" w:type="dxa"/>
              <w:left w:w="15" w:type="dxa"/>
              <w:right w:w="15" w:type="dxa"/>
            </w:tcMar>
            <w:vAlign w:val="center"/>
          </w:tcPr>
          <w:p w14:paraId="112636D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5</w:t>
            </w:r>
          </w:p>
        </w:tc>
        <w:tc>
          <w:tcPr>
            <w:tcW w:w="1221" w:type="pct"/>
            <w:shd w:val="clear" w:color="auto" w:fill="auto"/>
            <w:tcMar>
              <w:top w:w="15" w:type="dxa"/>
              <w:left w:w="15" w:type="dxa"/>
              <w:right w:w="15" w:type="dxa"/>
            </w:tcMar>
            <w:vAlign w:val="center"/>
          </w:tcPr>
          <w:p w14:paraId="1249D1F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出水在线监测主要指标</w:t>
            </w:r>
            <w:r>
              <w:rPr>
                <w:rFonts w:hint="default" w:ascii="Times New Roman" w:hAnsi="Times New Roman" w:eastAsia="宋体" w:cs="宋体"/>
                <w:kern w:val="2"/>
                <w:sz w:val="22"/>
                <w:szCs w:val="22"/>
                <w:lang w:val="en-US" w:eastAsia="zh-CN" w:bidi="ar"/>
              </w:rPr>
              <w:t>COD</w:t>
            </w:r>
            <w:r>
              <w:rPr>
                <w:rFonts w:hint="eastAsia" w:ascii="Times New Roman" w:hAnsi="Times New Roman" w:eastAsia="宋体" w:cs="宋体"/>
                <w:kern w:val="2"/>
                <w:sz w:val="22"/>
                <w:szCs w:val="22"/>
                <w:lang w:val="en-US" w:eastAsia="zh-CN" w:bidi="ar"/>
              </w:rPr>
              <w:t>等全部达标。</w:t>
            </w:r>
          </w:p>
        </w:tc>
        <w:tc>
          <w:tcPr>
            <w:tcW w:w="1724" w:type="pct"/>
            <w:shd w:val="clear" w:color="auto" w:fill="auto"/>
            <w:tcMar>
              <w:top w:w="15" w:type="dxa"/>
              <w:left w:w="15" w:type="dxa"/>
              <w:right w:w="15" w:type="dxa"/>
            </w:tcMar>
            <w:vAlign w:val="center"/>
          </w:tcPr>
          <w:p w14:paraId="770A99A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出水全部达标，得</w:t>
            </w:r>
            <w:r>
              <w:rPr>
                <w:rFonts w:hint="default" w:ascii="Times New Roman" w:hAnsi="Times New Roman" w:eastAsia="宋体" w:cs="宋体"/>
                <w:kern w:val="2"/>
                <w:sz w:val="22"/>
                <w:szCs w:val="22"/>
                <w:lang w:val="en-US" w:eastAsia="zh-CN" w:bidi="ar"/>
              </w:rPr>
              <w:t>5</w:t>
            </w:r>
            <w:r>
              <w:rPr>
                <w:rFonts w:hint="eastAsia" w:ascii="Times New Roman" w:hAnsi="Times New Roman" w:eastAsia="宋体" w:cs="宋体"/>
                <w:kern w:val="2"/>
                <w:sz w:val="22"/>
                <w:szCs w:val="22"/>
                <w:lang w:val="en-US" w:eastAsia="zh-CN" w:bidi="ar"/>
              </w:rPr>
              <w:t>分：</w:t>
            </w:r>
          </w:p>
          <w:p w14:paraId="53FC455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一项指标不达标，扣</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分，扣完为止。</w:t>
            </w:r>
          </w:p>
        </w:tc>
      </w:tr>
      <w:tr w14:paraId="5E68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2B8445E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56029B4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7881AD6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5ECB217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操作票与工作票填写合格率</w:t>
            </w:r>
          </w:p>
        </w:tc>
        <w:tc>
          <w:tcPr>
            <w:tcW w:w="316" w:type="pct"/>
            <w:shd w:val="clear" w:color="auto" w:fill="auto"/>
            <w:noWrap/>
            <w:tcMar>
              <w:top w:w="15" w:type="dxa"/>
              <w:left w:w="15" w:type="dxa"/>
              <w:right w:w="15" w:type="dxa"/>
            </w:tcMar>
            <w:vAlign w:val="center"/>
          </w:tcPr>
          <w:p w14:paraId="5C9D7FE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2</w:t>
            </w:r>
          </w:p>
        </w:tc>
        <w:tc>
          <w:tcPr>
            <w:tcW w:w="1221" w:type="pct"/>
            <w:shd w:val="clear" w:color="auto" w:fill="auto"/>
            <w:tcMar>
              <w:top w:w="15" w:type="dxa"/>
              <w:left w:w="15" w:type="dxa"/>
              <w:right w:w="15" w:type="dxa"/>
            </w:tcMar>
            <w:vAlign w:val="center"/>
          </w:tcPr>
          <w:p w14:paraId="4AA92D4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合格率达到</w:t>
            </w:r>
            <w:r>
              <w:rPr>
                <w:rFonts w:hint="default" w:ascii="Times New Roman" w:hAnsi="Times New Roman" w:eastAsia="宋体" w:cs="宋体"/>
                <w:kern w:val="2"/>
                <w:sz w:val="22"/>
                <w:szCs w:val="22"/>
                <w:lang w:val="en-US" w:eastAsia="zh-CN" w:bidi="ar"/>
              </w:rPr>
              <w:t>95%</w:t>
            </w:r>
            <w:r>
              <w:rPr>
                <w:rFonts w:hint="eastAsia" w:ascii="Times New Roman" w:hAnsi="Times New Roman" w:eastAsia="宋体" w:cs="宋体"/>
                <w:kern w:val="2"/>
                <w:sz w:val="22"/>
                <w:szCs w:val="22"/>
                <w:lang w:val="en-US" w:eastAsia="zh-CN" w:bidi="ar"/>
              </w:rPr>
              <w:t>以上</w:t>
            </w:r>
          </w:p>
        </w:tc>
        <w:tc>
          <w:tcPr>
            <w:tcW w:w="1724" w:type="pct"/>
            <w:shd w:val="clear" w:color="auto" w:fill="auto"/>
            <w:tcMar>
              <w:top w:w="15" w:type="dxa"/>
              <w:left w:w="15" w:type="dxa"/>
              <w:right w:w="15" w:type="dxa"/>
            </w:tcMar>
            <w:vAlign w:val="center"/>
          </w:tcPr>
          <w:p w14:paraId="27532B3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合格率</w:t>
            </w:r>
            <w:r>
              <w:rPr>
                <w:rFonts w:hint="default" w:ascii="Times New Roman" w:hAnsi="Times New Roman" w:eastAsia="宋体" w:cs="宋体"/>
                <w:kern w:val="2"/>
                <w:sz w:val="22"/>
                <w:szCs w:val="22"/>
                <w:lang w:val="en-US" w:eastAsia="zh-CN" w:bidi="ar"/>
              </w:rPr>
              <w:t>95%</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0C4FF0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合格率</w:t>
            </w:r>
            <w:r>
              <w:rPr>
                <w:rFonts w:hint="default" w:ascii="Times New Roman" w:hAnsi="Times New Roman" w:eastAsia="宋体" w:cs="宋体"/>
                <w:kern w:val="2"/>
                <w:sz w:val="22"/>
                <w:szCs w:val="22"/>
                <w:lang w:val="en-US" w:eastAsia="zh-CN" w:bidi="ar"/>
              </w:rPr>
              <w:t>95%</w:t>
            </w:r>
            <w:r>
              <w:rPr>
                <w:rFonts w:hint="eastAsia" w:ascii="Times New Roman" w:hAnsi="Times New Roman" w:eastAsia="宋体" w:cs="宋体"/>
                <w:kern w:val="2"/>
                <w:sz w:val="22"/>
                <w:szCs w:val="22"/>
                <w:lang w:val="en-US" w:eastAsia="zh-CN" w:bidi="ar"/>
              </w:rPr>
              <w:t>以下，</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78FA6A2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合格率在</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以下，不得分。</w:t>
            </w:r>
          </w:p>
        </w:tc>
      </w:tr>
      <w:tr w14:paraId="3191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1EF1C98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3E60A8F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68C0712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项目维护</w:t>
            </w:r>
          </w:p>
        </w:tc>
        <w:tc>
          <w:tcPr>
            <w:tcW w:w="867" w:type="pct"/>
            <w:shd w:val="clear" w:color="auto" w:fill="auto"/>
            <w:noWrap/>
            <w:tcMar>
              <w:top w:w="15" w:type="dxa"/>
              <w:left w:w="15" w:type="dxa"/>
              <w:right w:w="15" w:type="dxa"/>
            </w:tcMar>
            <w:vAlign w:val="center"/>
          </w:tcPr>
          <w:p w14:paraId="2DC33D2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物业管理</w:t>
            </w:r>
          </w:p>
        </w:tc>
        <w:tc>
          <w:tcPr>
            <w:tcW w:w="316" w:type="pct"/>
            <w:shd w:val="clear" w:color="auto" w:fill="auto"/>
            <w:noWrap/>
            <w:tcMar>
              <w:top w:w="15" w:type="dxa"/>
              <w:left w:w="15" w:type="dxa"/>
              <w:right w:w="15" w:type="dxa"/>
            </w:tcMar>
            <w:vAlign w:val="center"/>
          </w:tcPr>
          <w:p w14:paraId="60BC97E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0D238D4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保洁、绿化等内容</w:t>
            </w:r>
          </w:p>
        </w:tc>
        <w:tc>
          <w:tcPr>
            <w:tcW w:w="1724" w:type="pct"/>
            <w:shd w:val="clear" w:color="auto" w:fill="auto"/>
            <w:tcMar>
              <w:top w:w="15" w:type="dxa"/>
              <w:left w:w="15" w:type="dxa"/>
              <w:right w:w="15" w:type="dxa"/>
            </w:tcMar>
            <w:vAlign w:val="center"/>
          </w:tcPr>
          <w:p w14:paraId="68DDCD5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厂区整洁无散落垃圾，得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42D3BDE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发现一处散落垃圾，扣</w:t>
            </w:r>
            <w:r>
              <w:rPr>
                <w:rFonts w:hint="default" w:ascii="Times New Roman" w:hAnsi="Times New Roman" w:eastAsia="宋体" w:cs="宋体"/>
                <w:kern w:val="2"/>
                <w:sz w:val="22"/>
                <w:szCs w:val="22"/>
                <w:lang w:val="en-US" w:eastAsia="zh-CN" w:bidi="ar"/>
              </w:rPr>
              <w:t>0.5</w:t>
            </w:r>
            <w:r>
              <w:rPr>
                <w:rFonts w:hint="eastAsia" w:ascii="Times New Roman" w:hAnsi="Times New Roman" w:eastAsia="宋体" w:cs="宋体"/>
                <w:kern w:val="2"/>
                <w:sz w:val="22"/>
                <w:szCs w:val="22"/>
                <w:lang w:val="en-US" w:eastAsia="zh-CN" w:bidi="ar"/>
              </w:rPr>
              <w:t>分，扣完为止。</w:t>
            </w:r>
          </w:p>
        </w:tc>
      </w:tr>
      <w:tr w14:paraId="319F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3B4E636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033CFCF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1F7708A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55CA060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设备设施完好率</w:t>
            </w:r>
          </w:p>
        </w:tc>
        <w:tc>
          <w:tcPr>
            <w:tcW w:w="316" w:type="pct"/>
            <w:shd w:val="clear" w:color="auto" w:fill="auto"/>
            <w:noWrap/>
            <w:tcMar>
              <w:top w:w="15" w:type="dxa"/>
              <w:left w:w="15" w:type="dxa"/>
              <w:right w:w="15" w:type="dxa"/>
            </w:tcMar>
            <w:vAlign w:val="center"/>
          </w:tcPr>
          <w:p w14:paraId="1F150AF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24FB932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生产设施设备及公用工程实施设备完好程度</w:t>
            </w:r>
          </w:p>
        </w:tc>
        <w:tc>
          <w:tcPr>
            <w:tcW w:w="1724" w:type="pct"/>
            <w:shd w:val="clear" w:color="auto" w:fill="auto"/>
            <w:tcMar>
              <w:top w:w="15" w:type="dxa"/>
              <w:left w:w="15" w:type="dxa"/>
              <w:right w:w="15" w:type="dxa"/>
            </w:tcMar>
            <w:vAlign w:val="center"/>
          </w:tcPr>
          <w:p w14:paraId="6AE2B99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设备设施完好率</w:t>
            </w:r>
            <w:r>
              <w:rPr>
                <w:rFonts w:hint="default" w:ascii="Times New Roman" w:hAnsi="Times New Roman" w:eastAsia="宋体" w:cs="宋体"/>
                <w:kern w:val="2"/>
                <w:sz w:val="22"/>
                <w:szCs w:val="22"/>
                <w:lang w:val="en-US" w:eastAsia="zh-CN" w:bidi="ar"/>
              </w:rPr>
              <w:t>90%</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4B5D134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设备设施完好率</w:t>
            </w:r>
            <w:r>
              <w:rPr>
                <w:rFonts w:hint="default" w:ascii="Times New Roman" w:hAnsi="Times New Roman" w:eastAsia="宋体" w:cs="宋体"/>
                <w:kern w:val="2"/>
                <w:sz w:val="22"/>
                <w:szCs w:val="22"/>
                <w:lang w:val="en-US" w:eastAsia="zh-CN" w:bidi="ar"/>
              </w:rPr>
              <w:t>90%</w:t>
            </w:r>
            <w:r>
              <w:rPr>
                <w:rFonts w:hint="eastAsia" w:ascii="Times New Roman" w:hAnsi="Times New Roman" w:eastAsia="宋体" w:cs="宋体"/>
                <w:kern w:val="2"/>
                <w:sz w:val="22"/>
                <w:szCs w:val="22"/>
                <w:lang w:val="en-US" w:eastAsia="zh-CN" w:bidi="ar"/>
              </w:rPr>
              <w:t>以下，</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2F6FDEC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设备设施完好率</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以下，得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4539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16F534C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19B739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276C553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安全保障</w:t>
            </w:r>
          </w:p>
        </w:tc>
        <w:tc>
          <w:tcPr>
            <w:tcW w:w="867" w:type="pct"/>
            <w:shd w:val="clear" w:color="auto" w:fill="auto"/>
            <w:noWrap/>
            <w:tcMar>
              <w:top w:w="15" w:type="dxa"/>
              <w:left w:w="15" w:type="dxa"/>
              <w:right w:w="15" w:type="dxa"/>
            </w:tcMar>
            <w:vAlign w:val="center"/>
          </w:tcPr>
          <w:p w14:paraId="3650B16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安全规程、培训及防护</w:t>
            </w:r>
          </w:p>
        </w:tc>
        <w:tc>
          <w:tcPr>
            <w:tcW w:w="316" w:type="pct"/>
            <w:shd w:val="clear" w:color="auto" w:fill="auto"/>
            <w:noWrap/>
            <w:tcMar>
              <w:top w:w="15" w:type="dxa"/>
              <w:left w:w="15" w:type="dxa"/>
              <w:right w:w="15" w:type="dxa"/>
            </w:tcMar>
            <w:vAlign w:val="center"/>
          </w:tcPr>
          <w:p w14:paraId="7000387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3</w:t>
            </w:r>
          </w:p>
        </w:tc>
        <w:tc>
          <w:tcPr>
            <w:tcW w:w="1221" w:type="pct"/>
            <w:shd w:val="clear" w:color="auto" w:fill="auto"/>
            <w:tcMar>
              <w:top w:w="15" w:type="dxa"/>
              <w:left w:w="15" w:type="dxa"/>
              <w:right w:w="15" w:type="dxa"/>
            </w:tcMar>
            <w:vAlign w:val="center"/>
          </w:tcPr>
          <w:p w14:paraId="6C35B9B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操纵规程齐全，定期进行安全培训，作业现场配备安全保护设施。</w:t>
            </w:r>
          </w:p>
        </w:tc>
        <w:tc>
          <w:tcPr>
            <w:tcW w:w="1724" w:type="pct"/>
            <w:shd w:val="clear" w:color="auto" w:fill="auto"/>
            <w:tcMar>
              <w:top w:w="15" w:type="dxa"/>
              <w:left w:w="15" w:type="dxa"/>
              <w:right w:w="15" w:type="dxa"/>
            </w:tcMar>
            <w:vAlign w:val="center"/>
          </w:tcPr>
          <w:p w14:paraId="0FD0A4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安全规程、培训及防护措施很完善，得</w:t>
            </w:r>
            <w:r>
              <w:rPr>
                <w:rFonts w:hint="default" w:ascii="Times New Roman" w:hAnsi="Times New Roman" w:eastAsia="宋体" w:cs="宋体"/>
                <w:kern w:val="2"/>
                <w:sz w:val="22"/>
                <w:szCs w:val="22"/>
                <w:lang w:val="en-US" w:eastAsia="zh-CN" w:bidi="ar"/>
              </w:rPr>
              <w:t>3</w:t>
            </w:r>
            <w:r>
              <w:rPr>
                <w:rFonts w:hint="eastAsia" w:ascii="Times New Roman" w:hAnsi="Times New Roman" w:eastAsia="宋体" w:cs="宋体"/>
                <w:kern w:val="2"/>
                <w:sz w:val="22"/>
                <w:szCs w:val="22"/>
                <w:lang w:val="en-US" w:eastAsia="zh-CN" w:bidi="ar"/>
              </w:rPr>
              <w:t>分；</w:t>
            </w:r>
          </w:p>
          <w:p w14:paraId="4DEFB4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安全规程、培训及防护措施较完善，得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2AD1F17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安全规程、培训及防护措施不完善，得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2758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0107D53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169CA6E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52DE1216">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679A04E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应急预案</w:t>
            </w:r>
          </w:p>
        </w:tc>
        <w:tc>
          <w:tcPr>
            <w:tcW w:w="316" w:type="pct"/>
            <w:shd w:val="clear" w:color="auto" w:fill="auto"/>
            <w:noWrap/>
            <w:tcMar>
              <w:top w:w="15" w:type="dxa"/>
              <w:left w:w="15" w:type="dxa"/>
              <w:right w:w="15" w:type="dxa"/>
            </w:tcMar>
            <w:vAlign w:val="center"/>
          </w:tcPr>
          <w:p w14:paraId="3750594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2</w:t>
            </w:r>
          </w:p>
        </w:tc>
        <w:tc>
          <w:tcPr>
            <w:tcW w:w="1221" w:type="pct"/>
            <w:shd w:val="clear" w:color="auto" w:fill="auto"/>
            <w:tcMar>
              <w:top w:w="15" w:type="dxa"/>
              <w:left w:w="15" w:type="dxa"/>
              <w:right w:w="15" w:type="dxa"/>
            </w:tcMar>
            <w:vAlign w:val="center"/>
          </w:tcPr>
          <w:p w14:paraId="3235E22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建立完善的应急预案，并定时演练。</w:t>
            </w:r>
          </w:p>
        </w:tc>
        <w:tc>
          <w:tcPr>
            <w:tcW w:w="1724" w:type="pct"/>
            <w:shd w:val="clear" w:color="auto" w:fill="auto"/>
            <w:tcMar>
              <w:top w:w="15" w:type="dxa"/>
              <w:left w:w="15" w:type="dxa"/>
              <w:right w:w="15" w:type="dxa"/>
            </w:tcMar>
            <w:vAlign w:val="center"/>
          </w:tcPr>
          <w:p w14:paraId="6896872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有较完善的应急预案，得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180128E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有一般应急预案，得</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7A336B8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没有应急预案，得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4287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32E408B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5A8C7AD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6B045F5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0AB9248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安全事故</w:t>
            </w:r>
          </w:p>
        </w:tc>
        <w:tc>
          <w:tcPr>
            <w:tcW w:w="316" w:type="pct"/>
            <w:shd w:val="clear" w:color="auto" w:fill="auto"/>
            <w:noWrap/>
            <w:tcMar>
              <w:top w:w="15" w:type="dxa"/>
              <w:left w:w="15" w:type="dxa"/>
              <w:right w:w="15" w:type="dxa"/>
            </w:tcMar>
            <w:vAlign w:val="center"/>
          </w:tcPr>
          <w:p w14:paraId="1C547B8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5</w:t>
            </w:r>
          </w:p>
        </w:tc>
        <w:tc>
          <w:tcPr>
            <w:tcW w:w="1221" w:type="pct"/>
            <w:shd w:val="clear" w:color="auto" w:fill="auto"/>
            <w:tcMar>
              <w:top w:w="15" w:type="dxa"/>
              <w:left w:w="15" w:type="dxa"/>
              <w:right w:w="15" w:type="dxa"/>
            </w:tcMar>
            <w:vAlign w:val="center"/>
          </w:tcPr>
          <w:p w14:paraId="522CEA0D">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无责任安全事故。</w:t>
            </w:r>
          </w:p>
        </w:tc>
        <w:tc>
          <w:tcPr>
            <w:tcW w:w="1724" w:type="pct"/>
            <w:shd w:val="clear" w:color="auto" w:fill="auto"/>
            <w:tcMar>
              <w:top w:w="15" w:type="dxa"/>
              <w:left w:w="15" w:type="dxa"/>
              <w:right w:w="15" w:type="dxa"/>
            </w:tcMar>
            <w:vAlign w:val="center"/>
          </w:tcPr>
          <w:p w14:paraId="31D0FC9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发生一起重大或特别重大安全事故，则本项为</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15B5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1901AB0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569E4A8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050790D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社会影响</w:t>
            </w:r>
          </w:p>
        </w:tc>
        <w:tc>
          <w:tcPr>
            <w:tcW w:w="867" w:type="pct"/>
            <w:shd w:val="clear" w:color="auto" w:fill="auto"/>
            <w:noWrap/>
            <w:tcMar>
              <w:top w:w="15" w:type="dxa"/>
              <w:left w:w="15" w:type="dxa"/>
              <w:right w:w="15" w:type="dxa"/>
            </w:tcMar>
            <w:vAlign w:val="center"/>
          </w:tcPr>
          <w:p w14:paraId="43090D1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生态影响</w:t>
            </w:r>
          </w:p>
        </w:tc>
        <w:tc>
          <w:tcPr>
            <w:tcW w:w="316" w:type="pct"/>
            <w:shd w:val="clear" w:color="auto" w:fill="auto"/>
            <w:noWrap/>
            <w:tcMar>
              <w:top w:w="15" w:type="dxa"/>
              <w:left w:w="15" w:type="dxa"/>
              <w:right w:w="15" w:type="dxa"/>
            </w:tcMar>
            <w:vAlign w:val="center"/>
          </w:tcPr>
          <w:p w14:paraId="05AF614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4</w:t>
            </w:r>
          </w:p>
        </w:tc>
        <w:tc>
          <w:tcPr>
            <w:tcW w:w="1221" w:type="pct"/>
            <w:shd w:val="clear" w:color="auto" w:fill="auto"/>
            <w:tcMar>
              <w:top w:w="15" w:type="dxa"/>
              <w:left w:w="15" w:type="dxa"/>
              <w:right w:w="15" w:type="dxa"/>
            </w:tcMar>
            <w:vAlign w:val="center"/>
          </w:tcPr>
          <w:p w14:paraId="725FA91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评价项目实施对生态环境所带来的直接或间接的正负面影响情况。如节能减排、环保处罚等。</w:t>
            </w:r>
          </w:p>
        </w:tc>
        <w:tc>
          <w:tcPr>
            <w:tcW w:w="1724" w:type="pct"/>
            <w:shd w:val="clear" w:color="auto" w:fill="auto"/>
            <w:tcMar>
              <w:top w:w="15" w:type="dxa"/>
              <w:left w:w="15" w:type="dxa"/>
              <w:right w:w="15" w:type="dxa"/>
            </w:tcMar>
            <w:vAlign w:val="center"/>
          </w:tcPr>
          <w:p w14:paraId="227E7BD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项目实施较大程度上改善了当地生态环境，得</w:t>
            </w:r>
            <w:r>
              <w:rPr>
                <w:rFonts w:hint="default" w:ascii="Times New Roman" w:hAnsi="Times New Roman" w:eastAsia="宋体" w:cs="宋体"/>
                <w:kern w:val="2"/>
                <w:sz w:val="22"/>
                <w:szCs w:val="22"/>
                <w:lang w:val="en-US" w:eastAsia="zh-CN" w:bidi="ar"/>
              </w:rPr>
              <w:t>4</w:t>
            </w:r>
            <w:r>
              <w:rPr>
                <w:rFonts w:hint="eastAsia" w:ascii="Times New Roman" w:hAnsi="Times New Roman" w:eastAsia="宋体" w:cs="宋体"/>
                <w:kern w:val="2"/>
                <w:sz w:val="22"/>
                <w:szCs w:val="22"/>
                <w:lang w:val="en-US" w:eastAsia="zh-CN" w:bidi="ar"/>
              </w:rPr>
              <w:t>分；</w:t>
            </w:r>
          </w:p>
          <w:p w14:paraId="775E9D5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项目实施一般程度上促进了当地生态环境，得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32A75AB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项目实施没有改善当地生态环境，得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3C5A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2331A69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5F8E17F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177A142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3869E0F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舆情影响</w:t>
            </w:r>
          </w:p>
        </w:tc>
        <w:tc>
          <w:tcPr>
            <w:tcW w:w="316" w:type="pct"/>
            <w:shd w:val="clear" w:color="auto" w:fill="auto"/>
            <w:noWrap/>
            <w:tcMar>
              <w:top w:w="15" w:type="dxa"/>
              <w:left w:w="15" w:type="dxa"/>
              <w:right w:w="15" w:type="dxa"/>
            </w:tcMar>
            <w:vAlign w:val="center"/>
          </w:tcPr>
          <w:p w14:paraId="794192F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1</w:t>
            </w:r>
          </w:p>
        </w:tc>
        <w:tc>
          <w:tcPr>
            <w:tcW w:w="1221" w:type="pct"/>
            <w:shd w:val="clear" w:color="auto" w:fill="auto"/>
            <w:tcMar>
              <w:top w:w="15" w:type="dxa"/>
              <w:left w:w="15" w:type="dxa"/>
              <w:right w:w="15" w:type="dxa"/>
            </w:tcMar>
            <w:vAlign w:val="center"/>
          </w:tcPr>
          <w:p w14:paraId="3DC20DA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运营期内，项目发生的重大诉讼、公众舆情与群体性事件等。</w:t>
            </w:r>
          </w:p>
        </w:tc>
        <w:tc>
          <w:tcPr>
            <w:tcW w:w="1724" w:type="pct"/>
            <w:shd w:val="clear" w:color="auto" w:fill="auto"/>
            <w:tcMar>
              <w:top w:w="15" w:type="dxa"/>
              <w:left w:w="15" w:type="dxa"/>
              <w:right w:w="15" w:type="dxa"/>
            </w:tcMar>
            <w:vAlign w:val="center"/>
          </w:tcPr>
          <w:p w14:paraId="7920B31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发生一起重大或特别重大群体性事件，则本项为</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62BA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31A793C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740E031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16C5C03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满意度</w:t>
            </w:r>
          </w:p>
        </w:tc>
        <w:tc>
          <w:tcPr>
            <w:tcW w:w="867" w:type="pct"/>
            <w:shd w:val="clear" w:color="auto" w:fill="auto"/>
            <w:noWrap/>
            <w:tcMar>
              <w:top w:w="15" w:type="dxa"/>
              <w:left w:w="15" w:type="dxa"/>
              <w:right w:w="15" w:type="dxa"/>
            </w:tcMar>
            <w:vAlign w:val="center"/>
          </w:tcPr>
          <w:p w14:paraId="5C9E969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社会评价满意度</w:t>
            </w:r>
          </w:p>
        </w:tc>
        <w:tc>
          <w:tcPr>
            <w:tcW w:w="316" w:type="pct"/>
            <w:shd w:val="clear" w:color="auto" w:fill="auto"/>
            <w:noWrap/>
            <w:tcMar>
              <w:top w:w="15" w:type="dxa"/>
              <w:left w:w="15" w:type="dxa"/>
              <w:right w:w="15" w:type="dxa"/>
            </w:tcMar>
            <w:vAlign w:val="center"/>
          </w:tcPr>
          <w:p w14:paraId="69B5C18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3</w:t>
            </w:r>
          </w:p>
        </w:tc>
        <w:tc>
          <w:tcPr>
            <w:tcW w:w="1221" w:type="pct"/>
            <w:shd w:val="clear" w:color="auto" w:fill="auto"/>
            <w:tcMar>
              <w:top w:w="15" w:type="dxa"/>
              <w:left w:w="15" w:type="dxa"/>
              <w:right w:w="15" w:type="dxa"/>
            </w:tcMar>
            <w:vAlign w:val="center"/>
          </w:tcPr>
          <w:p w14:paraId="744157B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政府相关部门、项目实施机构、社会公众（服务对象）对项目公司或社会资本提供公共服务质量和效率的满意程度。</w:t>
            </w:r>
          </w:p>
        </w:tc>
        <w:tc>
          <w:tcPr>
            <w:tcW w:w="1724" w:type="pct"/>
            <w:shd w:val="clear" w:color="auto" w:fill="auto"/>
            <w:tcMar>
              <w:top w:w="15" w:type="dxa"/>
              <w:left w:w="15" w:type="dxa"/>
              <w:right w:w="15" w:type="dxa"/>
            </w:tcMar>
            <w:vAlign w:val="center"/>
          </w:tcPr>
          <w:p w14:paraId="31CC31F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满意度在</w:t>
            </w:r>
            <w:r>
              <w:rPr>
                <w:rFonts w:hint="default" w:ascii="Times New Roman" w:hAnsi="Times New Roman" w:eastAsia="宋体" w:cs="宋体"/>
                <w:kern w:val="2"/>
                <w:sz w:val="22"/>
                <w:szCs w:val="22"/>
                <w:lang w:val="en-US" w:eastAsia="zh-CN" w:bidi="ar"/>
              </w:rPr>
              <w:t>90%</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3</w:t>
            </w:r>
            <w:r>
              <w:rPr>
                <w:rFonts w:hint="eastAsia" w:ascii="Times New Roman" w:hAnsi="Times New Roman" w:eastAsia="宋体" w:cs="宋体"/>
                <w:kern w:val="2"/>
                <w:sz w:val="22"/>
                <w:szCs w:val="22"/>
                <w:lang w:val="en-US" w:eastAsia="zh-CN" w:bidi="ar"/>
              </w:rPr>
              <w:t>分；</w:t>
            </w:r>
          </w:p>
          <w:p w14:paraId="44B1FC2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满意度在</w:t>
            </w:r>
            <w:r>
              <w:rPr>
                <w:rFonts w:hint="default" w:ascii="Times New Roman" w:hAnsi="Times New Roman" w:eastAsia="宋体" w:cs="宋体"/>
                <w:kern w:val="2"/>
                <w:sz w:val="22"/>
                <w:szCs w:val="22"/>
                <w:lang w:val="en-US" w:eastAsia="zh-CN" w:bidi="ar"/>
              </w:rPr>
              <w:t>90%</w:t>
            </w:r>
            <w:r>
              <w:rPr>
                <w:rFonts w:hint="eastAsia" w:ascii="Times New Roman" w:hAnsi="Times New Roman" w:eastAsia="宋体" w:cs="宋体"/>
                <w:kern w:val="2"/>
                <w:sz w:val="22"/>
                <w:szCs w:val="22"/>
                <w:lang w:val="en-US" w:eastAsia="zh-CN" w:bidi="ar"/>
              </w:rPr>
              <w:t>以下，</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以上，得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2715BEB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满意度在</w:t>
            </w:r>
            <w:r>
              <w:rPr>
                <w:rFonts w:hint="default" w:ascii="Times New Roman" w:hAnsi="Times New Roman" w:eastAsia="宋体" w:cs="宋体"/>
                <w:kern w:val="2"/>
                <w:sz w:val="22"/>
                <w:szCs w:val="22"/>
                <w:lang w:val="en-US" w:eastAsia="zh-CN" w:bidi="ar"/>
              </w:rPr>
              <w:t>80%</w:t>
            </w:r>
            <w:r>
              <w:rPr>
                <w:rFonts w:hint="eastAsia" w:ascii="Times New Roman" w:hAnsi="Times New Roman" w:eastAsia="宋体" w:cs="宋体"/>
                <w:kern w:val="2"/>
                <w:sz w:val="22"/>
                <w:szCs w:val="22"/>
                <w:lang w:val="en-US" w:eastAsia="zh-CN" w:bidi="ar"/>
              </w:rPr>
              <w:t>以下，不得分；</w:t>
            </w:r>
          </w:p>
        </w:tc>
      </w:tr>
      <w:tr w14:paraId="1CB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66F5BED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7D175C30">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管理</w:t>
            </w:r>
          </w:p>
        </w:tc>
        <w:tc>
          <w:tcPr>
            <w:tcW w:w="363" w:type="pct"/>
            <w:shd w:val="clear" w:color="auto" w:fill="auto"/>
            <w:noWrap/>
            <w:tcMar>
              <w:top w:w="15" w:type="dxa"/>
              <w:left w:w="15" w:type="dxa"/>
              <w:right w:w="15" w:type="dxa"/>
            </w:tcMar>
            <w:vAlign w:val="center"/>
          </w:tcPr>
          <w:p w14:paraId="57F9CA3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组织管理</w:t>
            </w:r>
          </w:p>
        </w:tc>
        <w:tc>
          <w:tcPr>
            <w:tcW w:w="867" w:type="pct"/>
            <w:shd w:val="clear" w:color="auto" w:fill="auto"/>
            <w:noWrap/>
            <w:tcMar>
              <w:top w:w="15" w:type="dxa"/>
              <w:left w:w="15" w:type="dxa"/>
              <w:right w:w="15" w:type="dxa"/>
            </w:tcMar>
            <w:vAlign w:val="center"/>
          </w:tcPr>
          <w:p w14:paraId="7B8667B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组织管理</w:t>
            </w:r>
          </w:p>
        </w:tc>
        <w:tc>
          <w:tcPr>
            <w:tcW w:w="316" w:type="pct"/>
            <w:shd w:val="clear" w:color="auto" w:fill="auto"/>
            <w:noWrap/>
            <w:tcMar>
              <w:top w:w="15" w:type="dxa"/>
              <w:left w:w="15" w:type="dxa"/>
              <w:right w:w="15" w:type="dxa"/>
            </w:tcMar>
            <w:vAlign w:val="center"/>
          </w:tcPr>
          <w:p w14:paraId="2BEDA1F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3</w:t>
            </w:r>
          </w:p>
        </w:tc>
        <w:tc>
          <w:tcPr>
            <w:tcW w:w="1221" w:type="pct"/>
            <w:shd w:val="clear" w:color="auto" w:fill="auto"/>
            <w:tcMar>
              <w:top w:w="15" w:type="dxa"/>
              <w:left w:w="15" w:type="dxa"/>
              <w:right w:w="15" w:type="dxa"/>
            </w:tcMar>
            <w:vAlign w:val="center"/>
          </w:tcPr>
          <w:p w14:paraId="2F9E2B7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针对岗位设置明确职责和管理手册。</w:t>
            </w:r>
          </w:p>
        </w:tc>
        <w:tc>
          <w:tcPr>
            <w:tcW w:w="1724" w:type="pct"/>
            <w:shd w:val="clear" w:color="auto" w:fill="auto"/>
            <w:tcMar>
              <w:top w:w="15" w:type="dxa"/>
              <w:left w:w="15" w:type="dxa"/>
              <w:right w:w="15" w:type="dxa"/>
            </w:tcMar>
            <w:vAlign w:val="center"/>
          </w:tcPr>
          <w:p w14:paraId="3980C2F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有岗位职责和管理手册，得</w:t>
            </w:r>
            <w:r>
              <w:rPr>
                <w:rFonts w:hint="default" w:ascii="Times New Roman" w:hAnsi="Times New Roman" w:eastAsia="宋体" w:cs="宋体"/>
                <w:kern w:val="2"/>
                <w:sz w:val="22"/>
                <w:szCs w:val="22"/>
                <w:lang w:val="en-US" w:eastAsia="zh-CN" w:bidi="ar"/>
              </w:rPr>
              <w:t>3</w:t>
            </w:r>
            <w:r>
              <w:rPr>
                <w:rFonts w:hint="eastAsia" w:ascii="Times New Roman" w:hAnsi="Times New Roman" w:eastAsia="宋体" w:cs="宋体"/>
                <w:kern w:val="2"/>
                <w:sz w:val="22"/>
                <w:szCs w:val="22"/>
                <w:lang w:val="en-US" w:eastAsia="zh-CN" w:bidi="ar"/>
              </w:rPr>
              <w:t>分；</w:t>
            </w:r>
          </w:p>
          <w:p w14:paraId="1CAB778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无岗位职责和管理手册，不得分。</w:t>
            </w:r>
          </w:p>
        </w:tc>
      </w:tr>
      <w:tr w14:paraId="4EB4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2E659F3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4BC8DBB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54BC17A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867" w:type="pct"/>
            <w:shd w:val="clear" w:color="auto" w:fill="auto"/>
            <w:noWrap/>
            <w:tcMar>
              <w:top w:w="15" w:type="dxa"/>
              <w:left w:w="15" w:type="dxa"/>
              <w:right w:w="15" w:type="dxa"/>
            </w:tcMar>
            <w:vAlign w:val="center"/>
          </w:tcPr>
          <w:p w14:paraId="13551D4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人员配备</w:t>
            </w:r>
          </w:p>
        </w:tc>
        <w:tc>
          <w:tcPr>
            <w:tcW w:w="316" w:type="pct"/>
            <w:shd w:val="clear" w:color="auto" w:fill="auto"/>
            <w:noWrap/>
            <w:tcMar>
              <w:top w:w="15" w:type="dxa"/>
              <w:left w:w="15" w:type="dxa"/>
              <w:right w:w="15" w:type="dxa"/>
            </w:tcMar>
            <w:vAlign w:val="center"/>
          </w:tcPr>
          <w:p w14:paraId="645350A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3</w:t>
            </w:r>
          </w:p>
        </w:tc>
        <w:tc>
          <w:tcPr>
            <w:tcW w:w="1221" w:type="pct"/>
            <w:shd w:val="clear" w:color="auto" w:fill="auto"/>
            <w:tcMar>
              <w:top w:w="15" w:type="dxa"/>
              <w:left w:w="15" w:type="dxa"/>
              <w:right w:w="15" w:type="dxa"/>
            </w:tcMar>
            <w:vAlign w:val="center"/>
          </w:tcPr>
          <w:p w14:paraId="4D945DE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所有人员必须培训合格方能上岗</w:t>
            </w:r>
          </w:p>
        </w:tc>
        <w:tc>
          <w:tcPr>
            <w:tcW w:w="1724" w:type="pct"/>
            <w:shd w:val="clear" w:color="auto" w:fill="auto"/>
            <w:tcMar>
              <w:top w:w="15" w:type="dxa"/>
              <w:left w:w="15" w:type="dxa"/>
              <w:right w:w="15" w:type="dxa"/>
            </w:tcMar>
            <w:vAlign w:val="center"/>
          </w:tcPr>
          <w:p w14:paraId="6A70A20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所有人员培训上岗，得</w:t>
            </w:r>
            <w:r>
              <w:rPr>
                <w:rFonts w:hint="default" w:ascii="Times New Roman" w:hAnsi="Times New Roman" w:eastAsia="宋体" w:cs="宋体"/>
                <w:kern w:val="2"/>
                <w:sz w:val="22"/>
                <w:szCs w:val="22"/>
                <w:lang w:val="en-US" w:eastAsia="zh-CN" w:bidi="ar"/>
              </w:rPr>
              <w:t>3</w:t>
            </w:r>
            <w:r>
              <w:rPr>
                <w:rFonts w:hint="eastAsia" w:ascii="Times New Roman" w:hAnsi="Times New Roman" w:eastAsia="宋体" w:cs="宋体"/>
                <w:kern w:val="2"/>
                <w:sz w:val="22"/>
                <w:szCs w:val="22"/>
                <w:lang w:val="en-US" w:eastAsia="zh-CN" w:bidi="ar"/>
              </w:rPr>
              <w:t>分；</w:t>
            </w:r>
          </w:p>
          <w:p w14:paraId="4A99676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未做到所有人员培训上岗，不得分。</w:t>
            </w:r>
          </w:p>
        </w:tc>
      </w:tr>
      <w:tr w14:paraId="64A0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045F6A1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0BC641E1">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390BEEE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制度管理</w:t>
            </w:r>
          </w:p>
        </w:tc>
        <w:tc>
          <w:tcPr>
            <w:tcW w:w="867" w:type="pct"/>
            <w:shd w:val="clear" w:color="auto" w:fill="auto"/>
            <w:noWrap/>
            <w:tcMar>
              <w:top w:w="15" w:type="dxa"/>
              <w:left w:w="15" w:type="dxa"/>
              <w:right w:w="15" w:type="dxa"/>
            </w:tcMar>
            <w:vAlign w:val="center"/>
          </w:tcPr>
          <w:p w14:paraId="7A20A7B8">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制度管理</w:t>
            </w:r>
          </w:p>
        </w:tc>
        <w:tc>
          <w:tcPr>
            <w:tcW w:w="316" w:type="pct"/>
            <w:shd w:val="clear" w:color="auto" w:fill="auto"/>
            <w:noWrap/>
            <w:tcMar>
              <w:top w:w="15" w:type="dxa"/>
              <w:left w:w="15" w:type="dxa"/>
              <w:right w:w="15" w:type="dxa"/>
            </w:tcMar>
            <w:vAlign w:val="center"/>
          </w:tcPr>
          <w:p w14:paraId="072DFBE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2</w:t>
            </w:r>
          </w:p>
        </w:tc>
        <w:tc>
          <w:tcPr>
            <w:tcW w:w="1221" w:type="pct"/>
            <w:shd w:val="clear" w:color="auto" w:fill="auto"/>
            <w:tcMar>
              <w:top w:w="15" w:type="dxa"/>
              <w:left w:w="15" w:type="dxa"/>
              <w:right w:w="15" w:type="dxa"/>
            </w:tcMar>
            <w:vAlign w:val="center"/>
          </w:tcPr>
          <w:p w14:paraId="0AFF7EC4">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建立合理的质量管理体系、健康、安全、环保（</w:t>
            </w:r>
            <w:r>
              <w:rPr>
                <w:rFonts w:hint="default" w:ascii="Times New Roman" w:hAnsi="Times New Roman" w:eastAsia="宋体" w:cs="宋体"/>
                <w:kern w:val="2"/>
                <w:sz w:val="22"/>
                <w:szCs w:val="22"/>
                <w:lang w:val="en-US" w:eastAsia="zh-CN" w:bidi="ar"/>
              </w:rPr>
              <w:t>EHS</w:t>
            </w:r>
            <w:r>
              <w:rPr>
                <w:rFonts w:hint="eastAsia" w:ascii="Times New Roman" w:hAnsi="Times New Roman" w:eastAsia="宋体" w:cs="宋体"/>
                <w:kern w:val="2"/>
                <w:sz w:val="22"/>
                <w:szCs w:val="22"/>
                <w:lang w:val="en-US" w:eastAsia="zh-CN" w:bidi="ar"/>
              </w:rPr>
              <w:t>）体系等。</w:t>
            </w:r>
          </w:p>
        </w:tc>
        <w:tc>
          <w:tcPr>
            <w:tcW w:w="1724" w:type="pct"/>
            <w:shd w:val="clear" w:color="auto" w:fill="auto"/>
            <w:tcMar>
              <w:top w:w="15" w:type="dxa"/>
              <w:left w:w="15" w:type="dxa"/>
              <w:right w:w="15" w:type="dxa"/>
            </w:tcMar>
            <w:vAlign w:val="center"/>
          </w:tcPr>
          <w:p w14:paraId="69F22AE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有合理的</w:t>
            </w:r>
            <w:r>
              <w:rPr>
                <w:rFonts w:hint="default" w:ascii="Times New Roman" w:hAnsi="Times New Roman" w:eastAsia="宋体" w:cs="宋体"/>
                <w:kern w:val="2"/>
                <w:sz w:val="22"/>
                <w:szCs w:val="22"/>
                <w:lang w:val="en-US" w:eastAsia="zh-CN" w:bidi="ar"/>
              </w:rPr>
              <w:t>EHS</w:t>
            </w:r>
            <w:r>
              <w:rPr>
                <w:rFonts w:hint="eastAsia" w:ascii="Times New Roman" w:hAnsi="Times New Roman" w:eastAsia="宋体" w:cs="宋体"/>
                <w:kern w:val="2"/>
                <w:sz w:val="22"/>
                <w:szCs w:val="22"/>
                <w:lang w:val="en-US" w:eastAsia="zh-CN" w:bidi="ar"/>
              </w:rPr>
              <w:t>体系，得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610AF0B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有</w:t>
            </w:r>
            <w:r>
              <w:rPr>
                <w:rFonts w:hint="default" w:ascii="Times New Roman" w:hAnsi="Times New Roman" w:eastAsia="宋体" w:cs="宋体"/>
                <w:kern w:val="2"/>
                <w:sz w:val="22"/>
                <w:szCs w:val="22"/>
                <w:lang w:val="en-US" w:eastAsia="zh-CN" w:bidi="ar"/>
              </w:rPr>
              <w:t>EHS</w:t>
            </w:r>
            <w:r>
              <w:rPr>
                <w:rFonts w:hint="eastAsia" w:ascii="Times New Roman" w:hAnsi="Times New Roman" w:eastAsia="宋体" w:cs="宋体"/>
                <w:kern w:val="2"/>
                <w:sz w:val="22"/>
                <w:szCs w:val="22"/>
                <w:lang w:val="en-US" w:eastAsia="zh-CN" w:bidi="ar"/>
              </w:rPr>
              <w:t>体系，但不太合理，得</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00AAA22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没有</w:t>
            </w:r>
            <w:r>
              <w:rPr>
                <w:rFonts w:hint="default" w:ascii="Times New Roman" w:hAnsi="Times New Roman" w:eastAsia="宋体" w:cs="宋体"/>
                <w:kern w:val="2"/>
                <w:sz w:val="22"/>
                <w:szCs w:val="22"/>
                <w:lang w:val="en-US" w:eastAsia="zh-CN" w:bidi="ar"/>
              </w:rPr>
              <w:t>EHS</w:t>
            </w:r>
            <w:r>
              <w:rPr>
                <w:rFonts w:hint="eastAsia" w:ascii="Times New Roman" w:hAnsi="Times New Roman" w:eastAsia="宋体" w:cs="宋体"/>
                <w:kern w:val="2"/>
                <w:sz w:val="22"/>
                <w:szCs w:val="22"/>
                <w:lang w:val="en-US" w:eastAsia="zh-CN" w:bidi="ar"/>
              </w:rPr>
              <w:t>体系，得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7C7A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71D6759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6EA1BE0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680FB90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档案管理</w:t>
            </w:r>
          </w:p>
        </w:tc>
        <w:tc>
          <w:tcPr>
            <w:tcW w:w="867" w:type="pct"/>
            <w:shd w:val="clear" w:color="auto" w:fill="auto"/>
            <w:noWrap/>
            <w:tcMar>
              <w:top w:w="15" w:type="dxa"/>
              <w:left w:w="15" w:type="dxa"/>
              <w:right w:w="15" w:type="dxa"/>
            </w:tcMar>
            <w:vAlign w:val="center"/>
          </w:tcPr>
          <w:p w14:paraId="18929699">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资料管理</w:t>
            </w:r>
          </w:p>
        </w:tc>
        <w:tc>
          <w:tcPr>
            <w:tcW w:w="316" w:type="pct"/>
            <w:shd w:val="clear" w:color="auto" w:fill="auto"/>
            <w:noWrap/>
            <w:tcMar>
              <w:top w:w="15" w:type="dxa"/>
              <w:left w:w="15" w:type="dxa"/>
              <w:right w:w="15" w:type="dxa"/>
            </w:tcMar>
            <w:vAlign w:val="center"/>
          </w:tcPr>
          <w:p w14:paraId="53639652">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1</w:t>
            </w:r>
          </w:p>
        </w:tc>
        <w:tc>
          <w:tcPr>
            <w:tcW w:w="1221" w:type="pct"/>
            <w:shd w:val="clear" w:color="auto" w:fill="auto"/>
            <w:tcMar>
              <w:top w:w="15" w:type="dxa"/>
              <w:left w:w="15" w:type="dxa"/>
              <w:right w:w="15" w:type="dxa"/>
            </w:tcMar>
            <w:vAlign w:val="center"/>
          </w:tcPr>
          <w:p w14:paraId="2E988293">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生产运行数据记录和存档；建立日常工作日志、周报、月报、季报、半年报、年报等；设置专门档案室、专职人员，资料归档规范。</w:t>
            </w:r>
          </w:p>
        </w:tc>
        <w:tc>
          <w:tcPr>
            <w:tcW w:w="1724" w:type="pct"/>
            <w:shd w:val="clear" w:color="auto" w:fill="auto"/>
            <w:tcMar>
              <w:top w:w="15" w:type="dxa"/>
              <w:left w:w="15" w:type="dxa"/>
              <w:right w:w="15" w:type="dxa"/>
            </w:tcMar>
            <w:vAlign w:val="center"/>
          </w:tcPr>
          <w:p w14:paraId="37AA995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资料管理清晰、规范、完整得</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6E18173E">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资料管理清晰、规范、完整情况一般，得</w:t>
            </w:r>
            <w:r>
              <w:rPr>
                <w:rFonts w:hint="default" w:ascii="Times New Roman" w:hAnsi="Times New Roman" w:eastAsia="宋体" w:cs="宋体"/>
                <w:kern w:val="2"/>
                <w:sz w:val="22"/>
                <w:szCs w:val="22"/>
                <w:lang w:val="en-US" w:eastAsia="zh-CN" w:bidi="ar"/>
              </w:rPr>
              <w:t>0.5</w:t>
            </w:r>
            <w:r>
              <w:rPr>
                <w:rFonts w:hint="eastAsia" w:ascii="Times New Roman" w:hAnsi="Times New Roman" w:eastAsia="宋体" w:cs="宋体"/>
                <w:kern w:val="2"/>
                <w:sz w:val="22"/>
                <w:szCs w:val="22"/>
                <w:lang w:val="en-US" w:eastAsia="zh-CN" w:bidi="ar"/>
              </w:rPr>
              <w:t>分；</w:t>
            </w:r>
          </w:p>
          <w:p w14:paraId="2979859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资料管理清晰、规范、完整情况很差，得</w:t>
            </w:r>
            <w:r>
              <w:rPr>
                <w:rFonts w:hint="default" w:ascii="Times New Roman" w:hAnsi="Times New Roman" w:eastAsia="宋体" w:cs="宋体"/>
                <w:kern w:val="2"/>
                <w:sz w:val="22"/>
                <w:szCs w:val="22"/>
                <w:lang w:val="en-US" w:eastAsia="zh-CN" w:bidi="ar"/>
              </w:rPr>
              <w:t>0</w:t>
            </w:r>
            <w:r>
              <w:rPr>
                <w:rFonts w:hint="eastAsia" w:ascii="Times New Roman" w:hAnsi="Times New Roman" w:eastAsia="宋体" w:cs="宋体"/>
                <w:kern w:val="2"/>
                <w:sz w:val="22"/>
                <w:szCs w:val="22"/>
                <w:lang w:val="en-US" w:eastAsia="zh-CN" w:bidi="ar"/>
              </w:rPr>
              <w:t>分。</w:t>
            </w:r>
          </w:p>
        </w:tc>
      </w:tr>
      <w:tr w14:paraId="0CBD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trPr>
        <w:tc>
          <w:tcPr>
            <w:tcW w:w="213" w:type="pct"/>
            <w:shd w:val="clear" w:color="auto" w:fill="auto"/>
            <w:noWrap/>
            <w:tcMar>
              <w:top w:w="15" w:type="dxa"/>
              <w:left w:w="15" w:type="dxa"/>
              <w:right w:w="15" w:type="dxa"/>
            </w:tcMar>
            <w:vAlign w:val="center"/>
          </w:tcPr>
          <w:p w14:paraId="02B58F4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296" w:type="pct"/>
            <w:shd w:val="clear" w:color="auto" w:fill="auto"/>
            <w:noWrap/>
            <w:tcMar>
              <w:top w:w="15" w:type="dxa"/>
              <w:left w:w="15" w:type="dxa"/>
              <w:right w:w="15" w:type="dxa"/>
            </w:tcMar>
            <w:vAlign w:val="center"/>
          </w:tcPr>
          <w:p w14:paraId="16C8155B">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p>
        </w:tc>
        <w:tc>
          <w:tcPr>
            <w:tcW w:w="363" w:type="pct"/>
            <w:shd w:val="clear" w:color="auto" w:fill="auto"/>
            <w:noWrap/>
            <w:tcMar>
              <w:top w:w="15" w:type="dxa"/>
              <w:left w:w="15" w:type="dxa"/>
              <w:right w:w="15" w:type="dxa"/>
            </w:tcMar>
            <w:vAlign w:val="center"/>
          </w:tcPr>
          <w:p w14:paraId="462AB1EC">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信息公开</w:t>
            </w:r>
          </w:p>
        </w:tc>
        <w:tc>
          <w:tcPr>
            <w:tcW w:w="867" w:type="pct"/>
            <w:shd w:val="clear" w:color="auto" w:fill="auto"/>
            <w:noWrap/>
            <w:tcMar>
              <w:top w:w="15" w:type="dxa"/>
              <w:left w:w="15" w:type="dxa"/>
              <w:right w:w="15" w:type="dxa"/>
            </w:tcMar>
            <w:vAlign w:val="center"/>
          </w:tcPr>
          <w:p w14:paraId="7080757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信息公开</w:t>
            </w:r>
          </w:p>
        </w:tc>
        <w:tc>
          <w:tcPr>
            <w:tcW w:w="316" w:type="pct"/>
            <w:shd w:val="clear" w:color="auto" w:fill="auto"/>
            <w:noWrap/>
            <w:tcMar>
              <w:top w:w="15" w:type="dxa"/>
              <w:left w:w="15" w:type="dxa"/>
              <w:right w:w="15" w:type="dxa"/>
            </w:tcMar>
            <w:vAlign w:val="center"/>
          </w:tcPr>
          <w:p w14:paraId="4EC38A75">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default" w:ascii="Times New Roman" w:hAnsi="Times New Roman" w:eastAsia="宋体" w:cs="宋体"/>
                <w:kern w:val="2"/>
                <w:sz w:val="22"/>
                <w:szCs w:val="22"/>
                <w:lang w:val="en-US" w:eastAsia="zh-CN" w:bidi="ar"/>
              </w:rPr>
              <w:t>2</w:t>
            </w:r>
          </w:p>
        </w:tc>
        <w:tc>
          <w:tcPr>
            <w:tcW w:w="1221" w:type="pct"/>
            <w:shd w:val="clear" w:color="auto" w:fill="auto"/>
            <w:tcMar>
              <w:top w:w="15" w:type="dxa"/>
              <w:left w:w="15" w:type="dxa"/>
              <w:right w:w="15" w:type="dxa"/>
            </w:tcMar>
            <w:vAlign w:val="center"/>
          </w:tcPr>
          <w:p w14:paraId="4A1381B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建立并完善运营维护电子信息化平台，并确保在厂区明显位置摆放屏幕实时显示各项排放指标。</w:t>
            </w:r>
          </w:p>
        </w:tc>
        <w:tc>
          <w:tcPr>
            <w:tcW w:w="1724" w:type="pct"/>
            <w:shd w:val="clear" w:color="auto" w:fill="auto"/>
            <w:tcMar>
              <w:top w:w="15" w:type="dxa"/>
              <w:left w:w="15" w:type="dxa"/>
              <w:right w:w="15" w:type="dxa"/>
            </w:tcMar>
            <w:vAlign w:val="center"/>
          </w:tcPr>
          <w:p w14:paraId="2BCE1CA7">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信息公开及时、准确，得</w:t>
            </w:r>
            <w:r>
              <w:rPr>
                <w:rFonts w:hint="default" w:ascii="Times New Roman" w:hAnsi="Times New Roman" w:eastAsia="宋体" w:cs="宋体"/>
                <w:kern w:val="2"/>
                <w:sz w:val="22"/>
                <w:szCs w:val="22"/>
                <w:lang w:val="en-US" w:eastAsia="zh-CN" w:bidi="ar"/>
              </w:rPr>
              <w:t>2</w:t>
            </w:r>
            <w:r>
              <w:rPr>
                <w:rFonts w:hint="eastAsia" w:ascii="Times New Roman" w:hAnsi="Times New Roman" w:eastAsia="宋体" w:cs="宋体"/>
                <w:kern w:val="2"/>
                <w:sz w:val="22"/>
                <w:szCs w:val="22"/>
                <w:lang w:val="en-US" w:eastAsia="zh-CN" w:bidi="ar"/>
              </w:rPr>
              <w:t>分；</w:t>
            </w:r>
          </w:p>
          <w:p w14:paraId="2FA1920F">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信息公开不够及时、准确，得</w:t>
            </w:r>
            <w:r>
              <w:rPr>
                <w:rFonts w:hint="default" w:ascii="Times New Roman" w:hAnsi="Times New Roman" w:eastAsia="宋体" w:cs="宋体"/>
                <w:kern w:val="2"/>
                <w:sz w:val="22"/>
                <w:szCs w:val="22"/>
                <w:lang w:val="en-US" w:eastAsia="zh-CN" w:bidi="ar"/>
              </w:rPr>
              <w:t>1</w:t>
            </w:r>
            <w:r>
              <w:rPr>
                <w:rFonts w:hint="eastAsia" w:ascii="Times New Roman" w:hAnsi="Times New Roman" w:eastAsia="宋体" w:cs="宋体"/>
                <w:kern w:val="2"/>
                <w:sz w:val="22"/>
                <w:szCs w:val="22"/>
                <w:lang w:val="en-US" w:eastAsia="zh-CN" w:bidi="ar"/>
              </w:rPr>
              <w:t>分；</w:t>
            </w:r>
          </w:p>
          <w:p w14:paraId="6D1E84CA">
            <w:pPr>
              <w:keepNext w:val="0"/>
              <w:keepLines w:val="0"/>
              <w:widowControl/>
              <w:suppressLineNumbers w:val="0"/>
              <w:spacing w:before="0" w:beforeAutospacing="0" w:after="0" w:afterAutospacing="0" w:line="360" w:lineRule="auto"/>
              <w:ind w:left="0" w:right="0"/>
              <w:jc w:val="center"/>
              <w:textAlignment w:val="center"/>
              <w:rPr>
                <w:rFonts w:hint="default" w:eastAsia="宋体" w:cs="宋体"/>
                <w:sz w:val="22"/>
                <w:szCs w:val="22"/>
                <w:lang w:val="en-US" w:bidi="ar"/>
              </w:rPr>
            </w:pPr>
            <w:r>
              <w:rPr>
                <w:rFonts w:hint="eastAsia" w:ascii="Times New Roman" w:hAnsi="Times New Roman" w:eastAsia="宋体" w:cs="宋体"/>
                <w:kern w:val="2"/>
                <w:sz w:val="22"/>
                <w:szCs w:val="22"/>
                <w:lang w:val="en-US" w:eastAsia="zh-CN" w:bidi="ar"/>
              </w:rPr>
              <w:t>信息公开滞后、有错误信息，不得分。</w:t>
            </w:r>
          </w:p>
        </w:tc>
      </w:tr>
    </w:tbl>
    <w:p w14:paraId="534D5A95">
      <w:pPr>
        <w:pStyle w:val="2"/>
        <w:rPr>
          <w:rFonts w:hint="default"/>
          <w:lang w:val="en-US" w:eastAsia="zh-CN"/>
        </w:rPr>
        <w:sectPr>
          <w:pgSz w:w="16838" w:h="11906" w:orient="landscape"/>
          <w:pgMar w:top="720" w:right="720" w:bottom="720" w:left="720" w:header="851" w:footer="992" w:gutter="0"/>
          <w:cols w:space="425" w:num="1"/>
          <w:titlePg/>
          <w:docGrid w:type="lines" w:linePitch="312" w:charSpace="0"/>
        </w:sectPr>
      </w:pPr>
    </w:p>
    <w:p w14:paraId="26336660">
      <w:pPr>
        <w:keepNext w:val="0"/>
        <w:keepLines w:val="0"/>
        <w:pageBreakBefore w:val="0"/>
        <w:widowControl w:val="0"/>
        <w:numPr>
          <w:ilvl w:val="0"/>
          <w:numId w:val="91"/>
        </w:numPr>
        <w:kinsoku/>
        <w:wordWrap/>
        <w:overflowPunct/>
        <w:topLinePunct w:val="0"/>
        <w:autoSpaceDE/>
        <w:autoSpaceDN/>
        <w:bidi w:val="0"/>
        <w:adjustRightInd/>
        <w:snapToGrid/>
        <w:ind w:left="454" w:leftChars="0" w:hanging="454" w:firstLineChars="0"/>
        <w:textAlignment w:val="auto"/>
        <w:outlineLvl w:val="4"/>
        <w:rPr>
          <w:rFonts w:hint="default"/>
          <w:lang w:val="en-US" w:eastAsia="zh-CN"/>
        </w:rPr>
      </w:pPr>
      <w:r>
        <w:rPr>
          <w:rFonts w:hint="eastAsia"/>
          <w:lang w:val="en-US" w:eastAsia="zh-CN"/>
        </w:rPr>
        <w:t>移交期绩效评级表</w:t>
      </w:r>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42"/>
        <w:gridCol w:w="2833"/>
        <w:gridCol w:w="3265"/>
        <w:gridCol w:w="8285"/>
      </w:tblGrid>
      <w:tr w14:paraId="4F95F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3" w:hRule="atLeast"/>
          <w:tblHeader/>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8D35D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lang w:val="en-US"/>
              </w:rPr>
            </w:pPr>
            <w:r>
              <w:rPr>
                <w:rFonts w:hint="eastAsia" w:ascii="Times New Roman" w:hAnsi="Times New Roman" w:eastAsia="宋体" w:cs="宋体"/>
                <w:b/>
                <w:bCs w:val="0"/>
                <w:kern w:val="0"/>
                <w:sz w:val="21"/>
                <w:szCs w:val="22"/>
                <w:lang w:val="en-US" w:eastAsia="zh-CN" w:bidi="ar"/>
              </w:rPr>
              <w:t>序号</w:t>
            </w:r>
          </w:p>
        </w:tc>
        <w:tc>
          <w:tcPr>
            <w:tcW w:w="9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E846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lang w:val="en-US"/>
              </w:rPr>
            </w:pPr>
            <w:r>
              <w:rPr>
                <w:rFonts w:hint="eastAsia" w:ascii="Times New Roman" w:hAnsi="Times New Roman" w:eastAsia="宋体" w:cs="宋体"/>
                <w:b/>
                <w:bCs w:val="0"/>
                <w:kern w:val="0"/>
                <w:sz w:val="21"/>
                <w:szCs w:val="22"/>
                <w:lang w:val="en-US" w:eastAsia="zh-CN" w:bidi="ar"/>
              </w:rPr>
              <w:t>一级指标</w:t>
            </w:r>
          </w:p>
        </w:tc>
        <w:tc>
          <w:tcPr>
            <w:tcW w:w="10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75D5D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lang w:val="en-US"/>
              </w:rPr>
            </w:pPr>
            <w:r>
              <w:rPr>
                <w:rFonts w:hint="eastAsia" w:ascii="Times New Roman" w:hAnsi="Times New Roman" w:eastAsia="宋体" w:cs="宋体"/>
                <w:b/>
                <w:bCs w:val="0"/>
                <w:kern w:val="0"/>
                <w:sz w:val="21"/>
                <w:szCs w:val="22"/>
                <w:lang w:val="en-US" w:eastAsia="zh-CN" w:bidi="ar"/>
              </w:rPr>
              <w:t>二级指标</w:t>
            </w:r>
          </w:p>
        </w:tc>
        <w:tc>
          <w:tcPr>
            <w:tcW w:w="2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6928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lang w:val="en-US"/>
              </w:rPr>
            </w:pPr>
            <w:r>
              <w:rPr>
                <w:rFonts w:hint="eastAsia" w:ascii="Times New Roman" w:hAnsi="Times New Roman" w:eastAsia="宋体" w:cs="宋体"/>
                <w:b/>
                <w:bCs w:val="0"/>
                <w:kern w:val="0"/>
                <w:sz w:val="22"/>
                <w:szCs w:val="22"/>
                <w:lang w:val="en-US" w:eastAsia="zh-CN" w:bidi="ar"/>
              </w:rPr>
              <w:t>考核标准及扣分说明</w:t>
            </w:r>
          </w:p>
        </w:tc>
      </w:tr>
      <w:tr w14:paraId="388F6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6" w:hRule="atLeast"/>
          <w:jc w:val="center"/>
        </w:trPr>
        <w:tc>
          <w:tcPr>
            <w:tcW w:w="3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D0F7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default" w:ascii="Times New Roman" w:hAnsi="Times New Roman" w:eastAsia="宋体" w:cs="Times New Roman"/>
                <w:kern w:val="0"/>
                <w:sz w:val="21"/>
                <w:szCs w:val="22"/>
                <w:lang w:val="en-US" w:eastAsia="zh-CN" w:bidi="ar"/>
              </w:rPr>
              <w:t>1</w:t>
            </w:r>
          </w:p>
        </w:tc>
        <w:tc>
          <w:tcPr>
            <w:tcW w:w="91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9735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项目移交（</w:t>
            </w:r>
            <w:r>
              <w:rPr>
                <w:rFonts w:hint="default" w:ascii="Times New Roman" w:hAnsi="Times New Roman" w:eastAsia="宋体" w:cs="Times New Roman"/>
                <w:kern w:val="0"/>
                <w:sz w:val="21"/>
                <w:szCs w:val="22"/>
                <w:lang w:val="en-US" w:eastAsia="zh-CN" w:bidi="ar"/>
              </w:rPr>
              <w:t>80</w:t>
            </w:r>
            <w:r>
              <w:rPr>
                <w:rFonts w:hint="eastAsia" w:ascii="Times New Roman" w:hAnsi="Times New Roman" w:eastAsia="宋体" w:cs="宋体"/>
                <w:kern w:val="0"/>
                <w:sz w:val="21"/>
                <w:szCs w:val="22"/>
                <w:lang w:val="en-US" w:eastAsia="zh-CN" w:bidi="ar"/>
              </w:rPr>
              <w:t>）</w:t>
            </w:r>
          </w:p>
        </w:tc>
        <w:tc>
          <w:tcPr>
            <w:tcW w:w="10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39B61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资料（</w:t>
            </w:r>
            <w:r>
              <w:rPr>
                <w:rFonts w:hint="default" w:ascii="Times New Roman" w:hAnsi="Times New Roman" w:eastAsia="宋体" w:cs="Times New Roman"/>
                <w:kern w:val="0"/>
                <w:sz w:val="21"/>
                <w:szCs w:val="22"/>
                <w:lang w:val="en-US" w:eastAsia="zh-CN" w:bidi="ar"/>
              </w:rPr>
              <w:t>20</w:t>
            </w:r>
            <w:r>
              <w:rPr>
                <w:rFonts w:hint="eastAsia" w:ascii="Times New Roman" w:hAnsi="Times New Roman" w:eastAsia="宋体" w:cs="宋体"/>
                <w:kern w:val="0"/>
                <w:sz w:val="21"/>
                <w:szCs w:val="22"/>
                <w:lang w:val="en-US" w:eastAsia="zh-CN" w:bidi="ar"/>
              </w:rPr>
              <w:t>）</w:t>
            </w:r>
          </w:p>
        </w:tc>
        <w:tc>
          <w:tcPr>
            <w:tcW w:w="2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AD0F6B4">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本项目前期工作、设计施工、竣工验收、审计决算、保修责任履行、运营维护等相关档案资料文本原件一并移交，每发现一项原件漏项或者不及时不完整，扣</w:t>
            </w:r>
            <w:r>
              <w:rPr>
                <w:rFonts w:hint="default" w:ascii="Times New Roman" w:hAnsi="Times New Roman" w:eastAsia="宋体" w:cs="Times New Roman"/>
                <w:kern w:val="0"/>
                <w:sz w:val="21"/>
                <w:szCs w:val="22"/>
                <w:lang w:val="en-US" w:eastAsia="zh-CN" w:bidi="ar"/>
              </w:rPr>
              <w:t>0.5</w:t>
            </w:r>
            <w:r>
              <w:rPr>
                <w:rFonts w:hint="eastAsia" w:ascii="Times New Roman" w:hAnsi="Times New Roman" w:eastAsia="宋体" w:cs="宋体"/>
                <w:kern w:val="0"/>
                <w:sz w:val="21"/>
                <w:szCs w:val="22"/>
                <w:lang w:val="en-US" w:eastAsia="zh-CN" w:bidi="ar"/>
              </w:rPr>
              <w:t>分。</w:t>
            </w:r>
          </w:p>
        </w:tc>
      </w:tr>
      <w:tr w14:paraId="77BB0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jc w:val="center"/>
        </w:trPr>
        <w:tc>
          <w:tcPr>
            <w:tcW w:w="3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5A03B6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6F12CF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5A77F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固定资产的移交（</w:t>
            </w:r>
            <w:r>
              <w:rPr>
                <w:rFonts w:hint="default" w:ascii="Times New Roman" w:hAnsi="Times New Roman" w:eastAsia="宋体" w:cs="Times New Roman"/>
                <w:kern w:val="0"/>
                <w:sz w:val="21"/>
                <w:szCs w:val="22"/>
                <w:lang w:val="en-US" w:eastAsia="zh-CN" w:bidi="ar"/>
              </w:rPr>
              <w:t>60</w:t>
            </w:r>
            <w:r>
              <w:rPr>
                <w:rFonts w:hint="eastAsia" w:ascii="Times New Roman" w:hAnsi="Times New Roman" w:eastAsia="宋体" w:cs="宋体"/>
                <w:kern w:val="0"/>
                <w:sz w:val="21"/>
                <w:szCs w:val="22"/>
                <w:lang w:val="en-US" w:eastAsia="zh-CN" w:bidi="ar"/>
              </w:rPr>
              <w:t>）</w:t>
            </w:r>
          </w:p>
        </w:tc>
        <w:tc>
          <w:tcPr>
            <w:tcW w:w="2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A4AC527">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移交设施处于良好使用状态，移交检查时，每发现一处设施不能正常运行的，扣</w:t>
            </w:r>
            <w:r>
              <w:rPr>
                <w:rFonts w:hint="default" w:ascii="Times New Roman" w:hAnsi="Times New Roman" w:eastAsia="宋体" w:cs="Times New Roman"/>
                <w:kern w:val="0"/>
                <w:sz w:val="21"/>
                <w:szCs w:val="22"/>
                <w:lang w:val="en-US" w:eastAsia="zh-CN" w:bidi="ar"/>
              </w:rPr>
              <w:t>1</w:t>
            </w:r>
            <w:r>
              <w:rPr>
                <w:rFonts w:hint="eastAsia" w:ascii="Times New Roman" w:hAnsi="Times New Roman" w:eastAsia="宋体" w:cs="宋体"/>
                <w:kern w:val="0"/>
                <w:sz w:val="21"/>
                <w:szCs w:val="22"/>
                <w:lang w:val="en-US" w:eastAsia="zh-CN" w:bidi="ar"/>
              </w:rPr>
              <w:t>分。</w:t>
            </w:r>
          </w:p>
        </w:tc>
      </w:tr>
      <w:tr w14:paraId="588BC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jc w:val="center"/>
        </w:trPr>
        <w:tc>
          <w:tcPr>
            <w:tcW w:w="3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73CCE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default" w:ascii="Times New Roman" w:hAnsi="Times New Roman" w:eastAsia="宋体" w:cs="Times New Roman"/>
                <w:kern w:val="0"/>
                <w:sz w:val="21"/>
                <w:szCs w:val="22"/>
                <w:lang w:val="en-US" w:eastAsia="zh-CN" w:bidi="ar"/>
              </w:rPr>
              <w:t>2</w:t>
            </w:r>
          </w:p>
        </w:tc>
        <w:tc>
          <w:tcPr>
            <w:tcW w:w="91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47B7FC5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移交进度（</w:t>
            </w:r>
            <w:r>
              <w:rPr>
                <w:rFonts w:hint="default" w:ascii="Times New Roman" w:hAnsi="Times New Roman" w:eastAsia="宋体" w:cs="Times New Roman"/>
                <w:kern w:val="0"/>
                <w:sz w:val="21"/>
                <w:szCs w:val="22"/>
                <w:lang w:val="en-US" w:eastAsia="zh-CN" w:bidi="ar"/>
              </w:rPr>
              <w:t>20</w:t>
            </w:r>
            <w:r>
              <w:rPr>
                <w:rFonts w:hint="eastAsia" w:ascii="Times New Roman" w:hAnsi="Times New Roman" w:eastAsia="宋体" w:cs="宋体"/>
                <w:kern w:val="0"/>
                <w:sz w:val="21"/>
                <w:szCs w:val="22"/>
                <w:lang w:val="en-US" w:eastAsia="zh-CN" w:bidi="ar"/>
              </w:rPr>
              <w:t>）</w:t>
            </w:r>
          </w:p>
        </w:tc>
        <w:tc>
          <w:tcPr>
            <w:tcW w:w="10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57288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计划进度（</w:t>
            </w:r>
            <w:r>
              <w:rPr>
                <w:rFonts w:hint="default" w:ascii="Times New Roman" w:hAnsi="Times New Roman" w:eastAsia="宋体" w:cs="Times New Roman"/>
                <w:kern w:val="0"/>
                <w:sz w:val="21"/>
                <w:szCs w:val="22"/>
                <w:lang w:val="en-US" w:eastAsia="zh-CN" w:bidi="ar"/>
              </w:rPr>
              <w:t>10</w:t>
            </w:r>
            <w:r>
              <w:rPr>
                <w:rFonts w:hint="eastAsia" w:ascii="Times New Roman" w:hAnsi="Times New Roman" w:eastAsia="宋体" w:cs="宋体"/>
                <w:kern w:val="0"/>
                <w:sz w:val="21"/>
                <w:szCs w:val="22"/>
                <w:lang w:val="en-US" w:eastAsia="zh-CN" w:bidi="ar"/>
              </w:rPr>
              <w:t>）</w:t>
            </w:r>
          </w:p>
        </w:tc>
        <w:tc>
          <w:tcPr>
            <w:tcW w:w="2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3F7BC7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未制定项目移交总体计划进度，或制定不合理扣</w:t>
            </w:r>
            <w:r>
              <w:rPr>
                <w:rFonts w:hint="default" w:ascii="Times New Roman" w:hAnsi="Times New Roman" w:eastAsia="宋体" w:cs="Times New Roman"/>
                <w:kern w:val="0"/>
                <w:sz w:val="21"/>
                <w:szCs w:val="22"/>
                <w:lang w:val="en-US" w:eastAsia="zh-CN" w:bidi="ar"/>
              </w:rPr>
              <w:t>5</w:t>
            </w:r>
            <w:r>
              <w:rPr>
                <w:rFonts w:hint="eastAsia" w:ascii="Times New Roman" w:hAnsi="Times New Roman" w:eastAsia="宋体" w:cs="宋体"/>
                <w:kern w:val="0"/>
                <w:sz w:val="21"/>
                <w:szCs w:val="22"/>
                <w:lang w:val="en-US" w:eastAsia="zh-CN" w:bidi="ar"/>
              </w:rPr>
              <w:t>分；未按移交实际情况及时调整项目总体计划扣</w:t>
            </w:r>
            <w:r>
              <w:rPr>
                <w:rFonts w:hint="default" w:ascii="Times New Roman" w:hAnsi="Times New Roman" w:eastAsia="宋体" w:cs="Times New Roman"/>
                <w:kern w:val="0"/>
                <w:sz w:val="21"/>
                <w:szCs w:val="22"/>
                <w:lang w:val="en-US" w:eastAsia="zh-CN" w:bidi="ar"/>
              </w:rPr>
              <w:t>3</w:t>
            </w:r>
            <w:r>
              <w:rPr>
                <w:rFonts w:hint="eastAsia" w:ascii="Times New Roman" w:hAnsi="Times New Roman" w:eastAsia="宋体" w:cs="宋体"/>
                <w:kern w:val="0"/>
                <w:sz w:val="21"/>
                <w:szCs w:val="22"/>
                <w:lang w:val="en-US" w:eastAsia="zh-CN" w:bidi="ar"/>
              </w:rPr>
              <w:t>分。</w:t>
            </w:r>
          </w:p>
        </w:tc>
      </w:tr>
      <w:tr w14:paraId="1380B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096441D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1A31A53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A9D45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实际进度（</w:t>
            </w:r>
            <w:r>
              <w:rPr>
                <w:rFonts w:hint="default" w:ascii="Times New Roman" w:hAnsi="Times New Roman" w:eastAsia="宋体" w:cs="Times New Roman"/>
                <w:kern w:val="0"/>
                <w:sz w:val="21"/>
                <w:szCs w:val="22"/>
                <w:lang w:val="en-US" w:eastAsia="zh-CN" w:bidi="ar"/>
              </w:rPr>
              <w:t>10</w:t>
            </w:r>
            <w:r>
              <w:rPr>
                <w:rFonts w:hint="eastAsia" w:ascii="Times New Roman" w:hAnsi="Times New Roman" w:eastAsia="宋体" w:cs="宋体"/>
                <w:kern w:val="0"/>
                <w:sz w:val="21"/>
                <w:szCs w:val="22"/>
                <w:lang w:val="en-US" w:eastAsia="zh-CN" w:bidi="ar"/>
              </w:rPr>
              <w:t>）</w:t>
            </w:r>
          </w:p>
        </w:tc>
        <w:tc>
          <w:tcPr>
            <w:tcW w:w="26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E4EEB9C">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lang w:val="en-US"/>
              </w:rPr>
            </w:pPr>
            <w:r>
              <w:rPr>
                <w:rFonts w:hint="eastAsia" w:ascii="Times New Roman" w:hAnsi="Times New Roman" w:eastAsia="宋体" w:cs="宋体"/>
                <w:kern w:val="0"/>
                <w:sz w:val="21"/>
                <w:szCs w:val="22"/>
                <w:lang w:val="en-US" w:eastAsia="zh-CN" w:bidi="ar"/>
              </w:rPr>
              <w:t>考核项目分项工程移交进度计划完成情况，未完成目标扣</w:t>
            </w:r>
            <w:r>
              <w:rPr>
                <w:rFonts w:hint="default" w:ascii="Times New Roman" w:hAnsi="Times New Roman" w:eastAsia="宋体" w:cs="Times New Roman"/>
                <w:kern w:val="0"/>
                <w:sz w:val="21"/>
                <w:szCs w:val="22"/>
                <w:lang w:val="en-US" w:eastAsia="zh-CN" w:bidi="ar"/>
              </w:rPr>
              <w:t>2</w:t>
            </w:r>
            <w:r>
              <w:rPr>
                <w:rFonts w:hint="eastAsia" w:ascii="Times New Roman" w:hAnsi="Times New Roman" w:eastAsia="宋体" w:cs="宋体"/>
                <w:kern w:val="0"/>
                <w:sz w:val="21"/>
                <w:szCs w:val="22"/>
                <w:lang w:val="en-US" w:eastAsia="zh-CN" w:bidi="ar"/>
              </w:rPr>
              <w:t>分，扣完为止；项目移交整体进度滞后，未制定或落实相应措施扣</w:t>
            </w:r>
            <w:r>
              <w:rPr>
                <w:rFonts w:hint="default" w:ascii="Times New Roman" w:hAnsi="Times New Roman" w:eastAsia="宋体" w:cs="Times New Roman"/>
                <w:kern w:val="0"/>
                <w:sz w:val="21"/>
                <w:szCs w:val="22"/>
                <w:lang w:val="en-US" w:eastAsia="zh-CN" w:bidi="ar"/>
              </w:rPr>
              <w:t>3</w:t>
            </w:r>
            <w:r>
              <w:rPr>
                <w:rFonts w:hint="eastAsia" w:ascii="Times New Roman" w:hAnsi="Times New Roman" w:eastAsia="宋体" w:cs="宋体"/>
                <w:kern w:val="0"/>
                <w:sz w:val="21"/>
                <w:szCs w:val="22"/>
                <w:lang w:val="en-US" w:eastAsia="zh-CN" w:bidi="ar"/>
              </w:rPr>
              <w:t>分。</w:t>
            </w:r>
          </w:p>
        </w:tc>
      </w:tr>
      <w:tr w14:paraId="0844B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705EA1F2">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2"/>
                <w:lang w:val="en-US" w:eastAsia="zh-CN" w:bidi="ar"/>
              </w:rPr>
              <w:t>合计</w:t>
            </w:r>
          </w:p>
        </w:tc>
        <w:tc>
          <w:tcPr>
            <w:tcW w:w="4661"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14:paraId="28F4EA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lang w:val="en-US"/>
              </w:rPr>
            </w:pPr>
            <w:r>
              <w:rPr>
                <w:rFonts w:hint="default" w:ascii="Times New Roman" w:hAnsi="Times New Roman" w:eastAsia="宋体" w:cs="Times New Roman"/>
                <w:kern w:val="2"/>
                <w:sz w:val="21"/>
                <w:szCs w:val="22"/>
                <w:lang w:val="en-US" w:eastAsia="zh-CN" w:bidi="ar"/>
              </w:rPr>
              <w:t>100</w:t>
            </w:r>
            <w:r>
              <w:rPr>
                <w:rFonts w:hint="eastAsia" w:ascii="Times New Roman" w:hAnsi="Times New Roman" w:eastAsia="宋体" w:cs="宋体"/>
                <w:kern w:val="2"/>
                <w:sz w:val="21"/>
                <w:szCs w:val="22"/>
                <w:lang w:val="en-US" w:eastAsia="zh-CN" w:bidi="ar"/>
              </w:rPr>
              <w:t>分</w:t>
            </w:r>
          </w:p>
        </w:tc>
      </w:tr>
    </w:tbl>
    <w:p w14:paraId="404DBE5F">
      <w:pPr>
        <w:rPr>
          <w:color w:val="000000" w:themeColor="text1"/>
          <w14:textFill>
            <w14:solidFill>
              <w14:schemeClr w14:val="tx1"/>
            </w14:solidFill>
          </w14:textFill>
        </w:rPr>
        <w:sectPr>
          <w:pgSz w:w="16838" w:h="11906" w:orient="landscape"/>
          <w:pgMar w:top="720" w:right="720" w:bottom="720" w:left="720" w:header="851" w:footer="992" w:gutter="0"/>
          <w:cols w:space="425" w:num="1"/>
          <w:titlePg/>
          <w:docGrid w:type="lines" w:linePitch="312" w:charSpace="0"/>
        </w:sectPr>
      </w:pPr>
    </w:p>
    <w:p w14:paraId="5629E43F">
      <w:pPr>
        <w:pStyle w:val="6"/>
        <w:spacing w:before="156" w:after="15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w:t>
      </w:r>
    </w:p>
    <w:p w14:paraId="04E5B768">
      <w:pPr>
        <w:keepNext w:val="0"/>
        <w:keepLines w:val="0"/>
        <w:pageBreakBefore w:val="0"/>
        <w:widowControl w:val="0"/>
        <w:numPr>
          <w:ilvl w:val="0"/>
          <w:numId w:val="92"/>
        </w:numPr>
        <w:kinsoku/>
        <w:wordWrap/>
        <w:overflowPunct/>
        <w:topLinePunct w:val="0"/>
        <w:autoSpaceDE/>
        <w:autoSpaceDN/>
        <w:bidi w:val="0"/>
        <w:adjustRightInd/>
        <w:snapToGrid/>
        <w:ind w:left="454" w:leftChars="0" w:hanging="454" w:firstLineChars="0"/>
        <w:textAlignment w:val="auto"/>
        <w:outlineLvl w:val="4"/>
        <w:rPr>
          <w:rFonts w:hint="eastAsia"/>
          <w:lang w:val="en-US" w:eastAsia="zh-CN"/>
        </w:rPr>
        <w:sectPr>
          <w:pgSz w:w="16838" w:h="11906" w:orient="landscape"/>
          <w:pgMar w:top="720" w:right="720" w:bottom="720" w:left="720" w:header="851" w:footer="992" w:gutter="0"/>
          <w:cols w:space="425" w:num="1"/>
          <w:titlePg/>
          <w:docGrid w:type="lines" w:linePitch="312" w:charSpace="0"/>
        </w:sectPr>
      </w:pPr>
      <w:r>
        <w:rPr>
          <w:rFonts w:hint="eastAsia"/>
          <w:lang w:val="en-US" w:eastAsia="zh-CN"/>
        </w:rPr>
        <w:drawing>
          <wp:anchor distT="0" distB="0" distL="114300" distR="114300" simplePos="0" relativeHeight="251665408" behindDoc="0" locked="0" layoutInCell="1" allowOverlap="1">
            <wp:simplePos x="0" y="0"/>
            <wp:positionH relativeFrom="column">
              <wp:posOffset>792480</wp:posOffset>
            </wp:positionH>
            <wp:positionV relativeFrom="paragraph">
              <wp:posOffset>309880</wp:posOffset>
            </wp:positionV>
            <wp:extent cx="8173085" cy="4751070"/>
            <wp:effectExtent l="0" t="0" r="5715" b="11430"/>
            <wp:wrapNone/>
            <wp:docPr id="6" name="图片 6" descr="附图27 水量平衡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27 水量平衡图_00"/>
                    <pic:cNvPicPr>
                      <a:picLocks noChangeAspect="1"/>
                    </pic:cNvPicPr>
                  </pic:nvPicPr>
                  <pic:blipFill>
                    <a:blip r:embed="rId46"/>
                    <a:stretch>
                      <a:fillRect/>
                    </a:stretch>
                  </pic:blipFill>
                  <pic:spPr>
                    <a:xfrm>
                      <a:off x="0" y="0"/>
                      <a:ext cx="8173085" cy="4751070"/>
                    </a:xfrm>
                    <a:prstGeom prst="rect">
                      <a:avLst/>
                    </a:prstGeom>
                  </pic:spPr>
                </pic:pic>
              </a:graphicData>
            </a:graphic>
          </wp:anchor>
        </w:drawing>
      </w:r>
      <w:r>
        <w:rPr>
          <w:rFonts w:hint="eastAsia"/>
          <w:lang w:val="en-US" w:eastAsia="zh-CN"/>
        </w:rPr>
        <w:t>可研相关资料-水量平衡图</w:t>
      </w:r>
    </w:p>
    <w:p w14:paraId="0A852A0E">
      <w:pPr>
        <w:keepNext w:val="0"/>
        <w:keepLines w:val="0"/>
        <w:pageBreakBefore w:val="0"/>
        <w:widowControl w:val="0"/>
        <w:numPr>
          <w:ilvl w:val="0"/>
          <w:numId w:val="92"/>
        </w:numPr>
        <w:kinsoku/>
        <w:wordWrap/>
        <w:overflowPunct/>
        <w:topLinePunct w:val="0"/>
        <w:autoSpaceDE/>
        <w:autoSpaceDN/>
        <w:bidi w:val="0"/>
        <w:adjustRightInd/>
        <w:snapToGrid/>
        <w:ind w:left="454" w:leftChars="0" w:hanging="454" w:firstLineChars="0"/>
        <w:textAlignment w:val="auto"/>
        <w:outlineLvl w:val="4"/>
        <w:rPr>
          <w:rFonts w:hint="default"/>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810260</wp:posOffset>
            </wp:positionH>
            <wp:positionV relativeFrom="paragraph">
              <wp:posOffset>394335</wp:posOffset>
            </wp:positionV>
            <wp:extent cx="8223885" cy="5365750"/>
            <wp:effectExtent l="0" t="0" r="5715" b="635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7"/>
                    <a:stretch>
                      <a:fillRect/>
                    </a:stretch>
                  </pic:blipFill>
                  <pic:spPr>
                    <a:xfrm>
                      <a:off x="0" y="0"/>
                      <a:ext cx="8223885" cy="5365750"/>
                    </a:xfrm>
                    <a:prstGeom prst="rect">
                      <a:avLst/>
                    </a:prstGeom>
                    <a:noFill/>
                    <a:ln>
                      <a:noFill/>
                    </a:ln>
                  </pic:spPr>
                </pic:pic>
              </a:graphicData>
            </a:graphic>
          </wp:anchor>
        </w:drawing>
      </w:r>
      <w:r>
        <w:rPr>
          <w:rFonts w:hint="eastAsia"/>
          <w:lang w:val="en-US" w:eastAsia="zh-CN"/>
        </w:rPr>
        <w:t>可研相关资料-除盐水处理工艺图</w:t>
      </w:r>
    </w:p>
    <w:sectPr>
      <w:pgSz w:w="16838" w:h="11906" w:orient="landscape"/>
      <w:pgMar w:top="720" w:right="720" w:bottom="720" w:left="720" w:header="851" w:footer="992" w:gutter="0"/>
      <w:cols w:space="425" w:num="1"/>
      <w:titlePg/>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华文细黑">
    <w:altName w:val="微软雅黑"/>
    <w:panose1 w:val="02010600040101010101"/>
    <w:charset w:val="86"/>
    <w:family w:val="auto"/>
    <w:pitch w:val="default"/>
    <w:sig w:usb0="00000000" w:usb1="0000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方正仿宋">
    <w:altName w:val="宋体"/>
    <w:panose1 w:val="00000000000000000000"/>
    <w:charset w:val="86"/>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8C8EC">
    <w:pPr>
      <w:spacing w:line="179" w:lineRule="auto"/>
      <w:ind w:left="4014"/>
      <w:rPr>
        <w:rFonts w:eastAsia="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1ECE7">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681ECE7">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EEFCA">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96888">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6CD96888">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4C09">
    <w:pPr>
      <w:spacing w:line="179" w:lineRule="auto"/>
      <w:ind w:left="4014"/>
      <w:rPr>
        <w:rFonts w:eastAsia="Times New Roman" w:cs="Times New Roman"/>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5E72D">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035E72D">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CADB4">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0A4D8">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D80A4D8">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86AAC">
    <w:pPr>
      <w:pStyle w:val="19"/>
      <w:pBdr>
        <w:bottom w:val="none" w:color="auto" w:sz="0" w:space="1"/>
      </w:pBdr>
      <w:spacing w:line="240" w:lineRule="auto"/>
      <w:jc w:val="right"/>
      <w:rPr>
        <w:rFonts w:hint="eastAsia" w:ascii="黑体" w:hAnsi="黑体" w:eastAsia="黑体" w:cs="黑体"/>
        <w:sz w:val="21"/>
        <w:szCs w:val="21"/>
      </w:rPr>
    </w:pPr>
    <w:r>
      <w:rPr>
        <w:rFonts w:hint="eastAsia" w:ascii="黑体" w:hAnsi="黑体" w:eastAsia="黑体" w:cs="黑体"/>
        <w:sz w:val="21"/>
        <w:szCs w:val="21"/>
      </w:rPr>
      <w:t>包头市生活垃圾焚烧发电项目</w:t>
    </w:r>
  </w:p>
  <w:p w14:paraId="2A514DA2">
    <w:pPr>
      <w:pStyle w:val="19"/>
      <w:pBdr>
        <w:bottom w:val="single" w:color="auto" w:sz="4" w:space="1"/>
      </w:pBdr>
      <w:spacing w:line="240" w:lineRule="auto"/>
      <w:jc w:val="right"/>
      <w:rPr>
        <w:rFonts w:hint="eastAsia" w:ascii="黑体" w:hAnsi="黑体" w:eastAsia="黑体" w:cs="黑体"/>
        <w:sz w:val="21"/>
        <w:szCs w:val="21"/>
        <w:lang w:eastAsia="zh-CN"/>
      </w:rPr>
    </w:pPr>
    <w:r>
      <w:rPr>
        <w:rFonts w:hint="eastAsia" w:ascii="黑体" w:hAnsi="黑体" w:eastAsia="黑体" w:cs="黑体"/>
        <w:sz w:val="21"/>
        <w:szCs w:val="21"/>
        <w:lang w:eastAsia="zh-CN"/>
      </w:rPr>
      <w:t>特许经营方案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4CF2">
    <w:pPr>
      <w:pStyle w:val="19"/>
      <w:pBdr>
        <w:bottom w:val="none" w:color="auto" w:sz="0" w:space="1"/>
      </w:pBdr>
      <w:spacing w:line="240" w:lineRule="auto"/>
      <w:jc w:val="right"/>
      <w:rPr>
        <w:rFonts w:hint="eastAsia" w:ascii="黑体" w:hAnsi="黑体" w:eastAsia="黑体" w:cs="黑体"/>
        <w:sz w:val="21"/>
        <w:szCs w:val="21"/>
      </w:rPr>
    </w:pPr>
    <w:r>
      <w:rPr>
        <w:rFonts w:hint="eastAsia" w:ascii="黑体" w:hAnsi="黑体" w:eastAsia="黑体" w:cs="黑体"/>
        <w:sz w:val="21"/>
        <w:szCs w:val="21"/>
      </w:rPr>
      <w:t>包头市生活垃圾焚烧发电项目</w:t>
    </w:r>
  </w:p>
  <w:p w14:paraId="049B9724">
    <w:pPr>
      <w:pStyle w:val="19"/>
      <w:pBdr>
        <w:bottom w:val="single" w:color="auto" w:sz="4" w:space="1"/>
      </w:pBdr>
      <w:spacing w:line="240" w:lineRule="auto"/>
      <w:jc w:val="right"/>
      <w:rPr>
        <w:rFonts w:hint="eastAsia" w:eastAsia="仿宋"/>
        <w:lang w:eastAsia="zh-CN"/>
      </w:rPr>
    </w:pPr>
    <w:r>
      <w:rPr>
        <w:rFonts w:hint="eastAsia" w:ascii="黑体" w:hAnsi="黑体" w:eastAsia="黑体" w:cs="黑体"/>
        <w:sz w:val="21"/>
        <w:szCs w:val="21"/>
        <w:lang w:eastAsia="zh-CN"/>
      </w:rPr>
      <w:t>特许经营方案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A10E1"/>
    <w:multiLevelType w:val="singleLevel"/>
    <w:tmpl w:val="806A10E1"/>
    <w:lvl w:ilvl="0" w:tentative="0">
      <w:start w:val="1"/>
      <w:numFmt w:val="decimal"/>
      <w:lvlText w:val="%1."/>
      <w:lvlJc w:val="left"/>
      <w:pPr>
        <w:ind w:left="425" w:hanging="425"/>
      </w:pPr>
      <w:rPr>
        <w:rFonts w:hint="default"/>
      </w:rPr>
    </w:lvl>
  </w:abstractNum>
  <w:abstractNum w:abstractNumId="1">
    <w:nsid w:val="829C1B6C"/>
    <w:multiLevelType w:val="singleLevel"/>
    <w:tmpl w:val="829C1B6C"/>
    <w:lvl w:ilvl="0" w:tentative="0">
      <w:start w:val="1"/>
      <w:numFmt w:val="decimalEnclosedCircleChinese"/>
      <w:suff w:val="nothing"/>
      <w:lvlText w:val="%1　"/>
      <w:lvlJc w:val="left"/>
      <w:pPr>
        <w:ind w:left="0" w:firstLine="400"/>
      </w:pPr>
      <w:rPr>
        <w:rFonts w:hint="eastAsia"/>
      </w:rPr>
    </w:lvl>
  </w:abstractNum>
  <w:abstractNum w:abstractNumId="2">
    <w:nsid w:val="85DB20F9"/>
    <w:multiLevelType w:val="singleLevel"/>
    <w:tmpl w:val="85DB20F9"/>
    <w:lvl w:ilvl="0" w:tentative="0">
      <w:start w:val="1"/>
      <w:numFmt w:val="lowerLetter"/>
      <w:lvlText w:val="%1."/>
      <w:lvlJc w:val="left"/>
      <w:pPr>
        <w:ind w:left="425" w:hanging="425"/>
      </w:pPr>
      <w:rPr>
        <w:rFonts w:hint="default"/>
      </w:rPr>
    </w:lvl>
  </w:abstractNum>
  <w:abstractNum w:abstractNumId="3">
    <w:nsid w:val="85E437B4"/>
    <w:multiLevelType w:val="singleLevel"/>
    <w:tmpl w:val="85E437B4"/>
    <w:lvl w:ilvl="0" w:tentative="0">
      <w:start w:val="1"/>
      <w:numFmt w:val="decimalEnclosedCircleChinese"/>
      <w:suff w:val="nothing"/>
      <w:lvlText w:val="%1　"/>
      <w:lvlJc w:val="left"/>
      <w:pPr>
        <w:ind w:left="0" w:firstLine="400"/>
      </w:pPr>
      <w:rPr>
        <w:rFonts w:hint="eastAsia"/>
      </w:rPr>
    </w:lvl>
  </w:abstractNum>
  <w:abstractNum w:abstractNumId="4">
    <w:nsid w:val="8691B125"/>
    <w:multiLevelType w:val="singleLevel"/>
    <w:tmpl w:val="8691B125"/>
    <w:lvl w:ilvl="0" w:tentative="0">
      <w:start w:val="1"/>
      <w:numFmt w:val="decimal"/>
      <w:lvlText w:val="附件%1."/>
      <w:lvlJc w:val="left"/>
      <w:pPr>
        <w:tabs>
          <w:tab w:val="left" w:pos="397"/>
        </w:tabs>
        <w:ind w:left="454" w:leftChars="0" w:hanging="454" w:firstLineChars="0"/>
      </w:pPr>
      <w:rPr>
        <w:rFonts w:hint="default"/>
      </w:rPr>
    </w:lvl>
  </w:abstractNum>
  <w:abstractNum w:abstractNumId="5">
    <w:nsid w:val="88C7E0A4"/>
    <w:multiLevelType w:val="singleLevel"/>
    <w:tmpl w:val="88C7E0A4"/>
    <w:lvl w:ilvl="0" w:tentative="0">
      <w:start w:val="1"/>
      <w:numFmt w:val="lowerLetter"/>
      <w:lvlText w:val="%1."/>
      <w:lvlJc w:val="left"/>
      <w:pPr>
        <w:ind w:left="425" w:hanging="425"/>
      </w:pPr>
      <w:rPr>
        <w:rFonts w:hint="default"/>
      </w:rPr>
    </w:lvl>
  </w:abstractNum>
  <w:abstractNum w:abstractNumId="6">
    <w:nsid w:val="88F49DD0"/>
    <w:multiLevelType w:val="singleLevel"/>
    <w:tmpl w:val="88F49DD0"/>
    <w:lvl w:ilvl="0" w:tentative="0">
      <w:start w:val="1"/>
      <w:numFmt w:val="lowerLetter"/>
      <w:lvlText w:val="%1."/>
      <w:lvlJc w:val="left"/>
      <w:pPr>
        <w:ind w:left="425" w:hanging="425"/>
      </w:pPr>
      <w:rPr>
        <w:rFonts w:hint="default"/>
      </w:rPr>
    </w:lvl>
  </w:abstractNum>
  <w:abstractNum w:abstractNumId="7">
    <w:nsid w:val="8A2848B5"/>
    <w:multiLevelType w:val="singleLevel"/>
    <w:tmpl w:val="8A2848B5"/>
    <w:lvl w:ilvl="0" w:tentative="0">
      <w:start w:val="1"/>
      <w:numFmt w:val="decimal"/>
      <w:lvlText w:val="（%1）"/>
      <w:lvlJc w:val="left"/>
      <w:pPr>
        <w:tabs>
          <w:tab w:val="left" w:pos="420"/>
        </w:tabs>
        <w:ind w:left="425" w:hanging="425"/>
      </w:pPr>
      <w:rPr>
        <w:rFonts w:hint="default"/>
      </w:rPr>
    </w:lvl>
  </w:abstractNum>
  <w:abstractNum w:abstractNumId="8">
    <w:nsid w:val="8A51B52C"/>
    <w:multiLevelType w:val="singleLevel"/>
    <w:tmpl w:val="8A51B52C"/>
    <w:lvl w:ilvl="0" w:tentative="0">
      <w:start w:val="1"/>
      <w:numFmt w:val="decimalEnclosedCircleChinese"/>
      <w:suff w:val="nothing"/>
      <w:lvlText w:val="%1　"/>
      <w:lvlJc w:val="left"/>
      <w:pPr>
        <w:ind w:left="0" w:firstLine="400"/>
      </w:pPr>
      <w:rPr>
        <w:rFonts w:hint="eastAsia"/>
      </w:rPr>
    </w:lvl>
  </w:abstractNum>
  <w:abstractNum w:abstractNumId="9">
    <w:nsid w:val="8BE53702"/>
    <w:multiLevelType w:val="singleLevel"/>
    <w:tmpl w:val="8BE53702"/>
    <w:lvl w:ilvl="0" w:tentative="0">
      <w:start w:val="5"/>
      <w:numFmt w:val="decimal"/>
      <w:suff w:val="nothing"/>
      <w:lvlText w:val="%1）"/>
      <w:lvlJc w:val="left"/>
    </w:lvl>
  </w:abstractNum>
  <w:abstractNum w:abstractNumId="10">
    <w:nsid w:val="8F632AE1"/>
    <w:multiLevelType w:val="multilevel"/>
    <w:tmpl w:val="8F632AE1"/>
    <w:lvl w:ilvl="0" w:tentative="0">
      <w:start w:val="1"/>
      <w:numFmt w:val="lowerLetter"/>
      <w:lvlText w:val="%1."/>
      <w:lvlJc w:val="left"/>
      <w:pPr>
        <w:ind w:left="980" w:hanging="420"/>
      </w:pPr>
    </w:lvl>
    <w:lvl w:ilvl="1" w:tentative="0">
      <w:start w:val="1"/>
      <w:numFmt w:val="lowerLetter"/>
      <w:lvlText w:val="%2)"/>
      <w:lvlJc w:val="left"/>
      <w:pPr>
        <w:ind w:left="1400" w:hanging="420"/>
      </w:pPr>
    </w:lvl>
    <w:lvl w:ilvl="2" w:tentative="0">
      <w:start w:val="1"/>
      <w:numFmt w:val="lowerLetter"/>
      <w:lvlText w:val="%3."/>
      <w:lvlJc w:val="lef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95AFA2FD"/>
    <w:multiLevelType w:val="singleLevel"/>
    <w:tmpl w:val="95AFA2FD"/>
    <w:lvl w:ilvl="0" w:tentative="0">
      <w:start w:val="1"/>
      <w:numFmt w:val="decimalEnclosedCircleChinese"/>
      <w:suff w:val="nothing"/>
      <w:lvlText w:val="%1　"/>
      <w:lvlJc w:val="left"/>
      <w:pPr>
        <w:ind w:left="0" w:firstLine="400"/>
      </w:pPr>
      <w:rPr>
        <w:rFonts w:hint="eastAsia"/>
      </w:rPr>
    </w:lvl>
  </w:abstractNum>
  <w:abstractNum w:abstractNumId="12">
    <w:nsid w:val="97E42862"/>
    <w:multiLevelType w:val="singleLevel"/>
    <w:tmpl w:val="97E42862"/>
    <w:lvl w:ilvl="0" w:tentative="0">
      <w:start w:val="1"/>
      <w:numFmt w:val="decimalEnclosedCircleChinese"/>
      <w:suff w:val="nothing"/>
      <w:lvlText w:val="%1　"/>
      <w:lvlJc w:val="left"/>
      <w:pPr>
        <w:ind w:left="0" w:firstLine="400"/>
      </w:pPr>
      <w:rPr>
        <w:rFonts w:hint="eastAsia"/>
      </w:rPr>
    </w:lvl>
  </w:abstractNum>
  <w:abstractNum w:abstractNumId="13">
    <w:nsid w:val="9CB0DFBB"/>
    <w:multiLevelType w:val="singleLevel"/>
    <w:tmpl w:val="9CB0DFBB"/>
    <w:lvl w:ilvl="0" w:tentative="0">
      <w:start w:val="1"/>
      <w:numFmt w:val="lowerLetter"/>
      <w:lvlText w:val="%1."/>
      <w:lvlJc w:val="left"/>
      <w:pPr>
        <w:ind w:left="425" w:hanging="425"/>
      </w:pPr>
      <w:rPr>
        <w:rFonts w:hint="default"/>
      </w:rPr>
    </w:lvl>
  </w:abstractNum>
  <w:abstractNum w:abstractNumId="14">
    <w:nsid w:val="A03CA38F"/>
    <w:multiLevelType w:val="singleLevel"/>
    <w:tmpl w:val="A03CA38F"/>
    <w:lvl w:ilvl="0" w:tentative="0">
      <w:start w:val="1"/>
      <w:numFmt w:val="decimal"/>
      <w:lvlText w:val="%1)"/>
      <w:lvlJc w:val="left"/>
      <w:pPr>
        <w:ind w:left="425" w:hanging="425"/>
      </w:pPr>
      <w:rPr>
        <w:rFonts w:hint="default"/>
      </w:rPr>
    </w:lvl>
  </w:abstractNum>
  <w:abstractNum w:abstractNumId="15">
    <w:nsid w:val="A83C1D01"/>
    <w:multiLevelType w:val="singleLevel"/>
    <w:tmpl w:val="A83C1D01"/>
    <w:lvl w:ilvl="0" w:tentative="0">
      <w:start w:val="1"/>
      <w:numFmt w:val="lowerLetter"/>
      <w:lvlText w:val="%1."/>
      <w:lvlJc w:val="left"/>
      <w:pPr>
        <w:ind w:left="425" w:hanging="425"/>
      </w:pPr>
      <w:rPr>
        <w:rFonts w:hint="default"/>
      </w:rPr>
    </w:lvl>
  </w:abstractNum>
  <w:abstractNum w:abstractNumId="16">
    <w:nsid w:val="AABD6F09"/>
    <w:multiLevelType w:val="singleLevel"/>
    <w:tmpl w:val="AABD6F09"/>
    <w:lvl w:ilvl="0" w:tentative="0">
      <w:start w:val="1"/>
      <w:numFmt w:val="decimalEnclosedCircleChinese"/>
      <w:suff w:val="nothing"/>
      <w:lvlText w:val="%1　"/>
      <w:lvlJc w:val="left"/>
      <w:pPr>
        <w:ind w:left="0" w:firstLine="400"/>
      </w:pPr>
      <w:rPr>
        <w:rFonts w:hint="eastAsia"/>
      </w:rPr>
    </w:lvl>
  </w:abstractNum>
  <w:abstractNum w:abstractNumId="17">
    <w:nsid w:val="AB9E5B64"/>
    <w:multiLevelType w:val="singleLevel"/>
    <w:tmpl w:val="AB9E5B64"/>
    <w:lvl w:ilvl="0" w:tentative="0">
      <w:start w:val="1"/>
      <w:numFmt w:val="decimal"/>
      <w:lvlText w:val="（%1）"/>
      <w:lvlJc w:val="left"/>
      <w:pPr>
        <w:tabs>
          <w:tab w:val="left" w:pos="420"/>
        </w:tabs>
        <w:ind w:left="425" w:hanging="425"/>
      </w:pPr>
      <w:rPr>
        <w:rFonts w:hint="default"/>
      </w:rPr>
    </w:lvl>
  </w:abstractNum>
  <w:abstractNum w:abstractNumId="18">
    <w:nsid w:val="AC740820"/>
    <w:multiLevelType w:val="singleLevel"/>
    <w:tmpl w:val="AC740820"/>
    <w:lvl w:ilvl="0" w:tentative="0">
      <w:start w:val="1"/>
      <w:numFmt w:val="decimal"/>
      <w:lvlText w:val="%1)"/>
      <w:lvlJc w:val="left"/>
      <w:pPr>
        <w:ind w:left="425" w:hanging="425"/>
      </w:pPr>
      <w:rPr>
        <w:rFonts w:hint="default"/>
      </w:rPr>
    </w:lvl>
  </w:abstractNum>
  <w:abstractNum w:abstractNumId="19">
    <w:nsid w:val="AD442958"/>
    <w:multiLevelType w:val="singleLevel"/>
    <w:tmpl w:val="AD442958"/>
    <w:lvl w:ilvl="0" w:tentative="0">
      <w:start w:val="1"/>
      <w:numFmt w:val="decimal"/>
      <w:lvlText w:val="（%1）"/>
      <w:lvlJc w:val="left"/>
      <w:pPr>
        <w:tabs>
          <w:tab w:val="left" w:pos="420"/>
        </w:tabs>
        <w:ind w:left="425" w:hanging="425"/>
      </w:pPr>
      <w:rPr>
        <w:rFonts w:hint="default"/>
      </w:rPr>
    </w:lvl>
  </w:abstractNum>
  <w:abstractNum w:abstractNumId="20">
    <w:nsid w:val="B5228115"/>
    <w:multiLevelType w:val="singleLevel"/>
    <w:tmpl w:val="B5228115"/>
    <w:lvl w:ilvl="0" w:tentative="0">
      <w:start w:val="1"/>
      <w:numFmt w:val="decimalEnclosedCircleChinese"/>
      <w:suff w:val="nothing"/>
      <w:lvlText w:val="%1　"/>
      <w:lvlJc w:val="left"/>
      <w:pPr>
        <w:ind w:left="0" w:firstLine="400"/>
      </w:pPr>
      <w:rPr>
        <w:rFonts w:hint="eastAsia"/>
      </w:rPr>
    </w:lvl>
  </w:abstractNum>
  <w:abstractNum w:abstractNumId="21">
    <w:nsid w:val="B60E9903"/>
    <w:multiLevelType w:val="singleLevel"/>
    <w:tmpl w:val="B60E9903"/>
    <w:lvl w:ilvl="0" w:tentative="0">
      <w:start w:val="1"/>
      <w:numFmt w:val="decimalEnclosedCircleChinese"/>
      <w:suff w:val="nothing"/>
      <w:lvlText w:val="%1　"/>
      <w:lvlJc w:val="left"/>
      <w:pPr>
        <w:ind w:left="0" w:firstLine="400"/>
      </w:pPr>
      <w:rPr>
        <w:rFonts w:hint="eastAsia"/>
      </w:rPr>
    </w:lvl>
  </w:abstractNum>
  <w:abstractNum w:abstractNumId="22">
    <w:nsid w:val="BB641D7C"/>
    <w:multiLevelType w:val="singleLevel"/>
    <w:tmpl w:val="BB641D7C"/>
    <w:lvl w:ilvl="0" w:tentative="0">
      <w:start w:val="1"/>
      <w:numFmt w:val="lowerLetter"/>
      <w:lvlText w:val="%1."/>
      <w:lvlJc w:val="left"/>
      <w:pPr>
        <w:ind w:left="425" w:hanging="425"/>
      </w:pPr>
      <w:rPr>
        <w:rFonts w:hint="default"/>
      </w:rPr>
    </w:lvl>
  </w:abstractNum>
  <w:abstractNum w:abstractNumId="23">
    <w:nsid w:val="BC6DB0BF"/>
    <w:multiLevelType w:val="singleLevel"/>
    <w:tmpl w:val="BC6DB0BF"/>
    <w:lvl w:ilvl="0" w:tentative="0">
      <w:start w:val="1"/>
      <w:numFmt w:val="decimalEnclosedCircleChinese"/>
      <w:suff w:val="nothing"/>
      <w:lvlText w:val="%1　"/>
      <w:lvlJc w:val="left"/>
      <w:pPr>
        <w:ind w:left="0" w:firstLine="400"/>
      </w:pPr>
      <w:rPr>
        <w:rFonts w:hint="eastAsia"/>
      </w:rPr>
    </w:lvl>
  </w:abstractNum>
  <w:abstractNum w:abstractNumId="24">
    <w:nsid w:val="BEC2DB67"/>
    <w:multiLevelType w:val="singleLevel"/>
    <w:tmpl w:val="BEC2DB67"/>
    <w:lvl w:ilvl="0" w:tentative="0">
      <w:start w:val="1"/>
      <w:numFmt w:val="decimalEnclosedCircleChinese"/>
      <w:suff w:val="nothing"/>
      <w:lvlText w:val="%1　"/>
      <w:lvlJc w:val="left"/>
      <w:pPr>
        <w:ind w:left="0" w:firstLine="400"/>
      </w:pPr>
      <w:rPr>
        <w:rFonts w:hint="eastAsia"/>
      </w:rPr>
    </w:lvl>
  </w:abstractNum>
  <w:abstractNum w:abstractNumId="25">
    <w:nsid w:val="C23D95FD"/>
    <w:multiLevelType w:val="singleLevel"/>
    <w:tmpl w:val="C23D95FD"/>
    <w:lvl w:ilvl="0" w:tentative="0">
      <w:start w:val="1"/>
      <w:numFmt w:val="decimal"/>
      <w:lvlText w:val="（%1）"/>
      <w:lvlJc w:val="left"/>
      <w:pPr>
        <w:tabs>
          <w:tab w:val="left" w:pos="420"/>
        </w:tabs>
        <w:ind w:left="425" w:hanging="425"/>
      </w:pPr>
      <w:rPr>
        <w:rFonts w:hint="default"/>
      </w:rPr>
    </w:lvl>
  </w:abstractNum>
  <w:abstractNum w:abstractNumId="26">
    <w:nsid w:val="C3FB3DC9"/>
    <w:multiLevelType w:val="singleLevel"/>
    <w:tmpl w:val="C3FB3DC9"/>
    <w:lvl w:ilvl="0" w:tentative="0">
      <w:start w:val="1"/>
      <w:numFmt w:val="decimal"/>
      <w:lvlText w:val="（%1）"/>
      <w:lvlJc w:val="left"/>
      <w:pPr>
        <w:tabs>
          <w:tab w:val="left" w:pos="420"/>
        </w:tabs>
        <w:ind w:left="425" w:hanging="425"/>
      </w:pPr>
      <w:rPr>
        <w:rFonts w:hint="default"/>
      </w:rPr>
    </w:lvl>
  </w:abstractNum>
  <w:abstractNum w:abstractNumId="27">
    <w:nsid w:val="C6F031B4"/>
    <w:multiLevelType w:val="singleLevel"/>
    <w:tmpl w:val="C6F031B4"/>
    <w:lvl w:ilvl="0" w:tentative="0">
      <w:start w:val="1"/>
      <w:numFmt w:val="decimal"/>
      <w:lvlText w:val="%1)"/>
      <w:lvlJc w:val="left"/>
      <w:pPr>
        <w:ind w:left="425" w:hanging="425"/>
      </w:pPr>
      <w:rPr>
        <w:rFonts w:hint="default"/>
      </w:rPr>
    </w:lvl>
  </w:abstractNum>
  <w:abstractNum w:abstractNumId="28">
    <w:nsid w:val="C75CB1D7"/>
    <w:multiLevelType w:val="singleLevel"/>
    <w:tmpl w:val="C75CB1D7"/>
    <w:lvl w:ilvl="0" w:tentative="0">
      <w:start w:val="1"/>
      <w:numFmt w:val="decimal"/>
      <w:lvlText w:val="%1）"/>
      <w:lvlJc w:val="left"/>
      <w:pPr>
        <w:tabs>
          <w:tab w:val="left" w:pos="420"/>
        </w:tabs>
        <w:ind w:left="425" w:hanging="425"/>
      </w:pPr>
      <w:rPr>
        <w:rFonts w:hint="default"/>
      </w:rPr>
    </w:lvl>
  </w:abstractNum>
  <w:abstractNum w:abstractNumId="29">
    <w:nsid w:val="C92C2111"/>
    <w:multiLevelType w:val="singleLevel"/>
    <w:tmpl w:val="C92C2111"/>
    <w:lvl w:ilvl="0" w:tentative="0">
      <w:start w:val="1"/>
      <w:numFmt w:val="decimal"/>
      <w:lvlText w:val="%1."/>
      <w:lvlJc w:val="left"/>
      <w:pPr>
        <w:ind w:left="425" w:hanging="425"/>
      </w:pPr>
      <w:rPr>
        <w:rFonts w:hint="default"/>
      </w:rPr>
    </w:lvl>
  </w:abstractNum>
  <w:abstractNum w:abstractNumId="30">
    <w:nsid w:val="C9FDA98A"/>
    <w:multiLevelType w:val="singleLevel"/>
    <w:tmpl w:val="C9FDA98A"/>
    <w:lvl w:ilvl="0" w:tentative="0">
      <w:start w:val="1"/>
      <w:numFmt w:val="decimalEnclosedCircleChinese"/>
      <w:suff w:val="nothing"/>
      <w:lvlText w:val="%1　"/>
      <w:lvlJc w:val="left"/>
      <w:pPr>
        <w:ind w:left="0" w:firstLine="400"/>
      </w:pPr>
      <w:rPr>
        <w:rFonts w:hint="eastAsia"/>
      </w:rPr>
    </w:lvl>
  </w:abstractNum>
  <w:abstractNum w:abstractNumId="31">
    <w:nsid w:val="CB667A53"/>
    <w:multiLevelType w:val="singleLevel"/>
    <w:tmpl w:val="CB667A53"/>
    <w:lvl w:ilvl="0" w:tentative="0">
      <w:start w:val="1"/>
      <w:numFmt w:val="decimal"/>
      <w:lvlText w:val="（%1）"/>
      <w:lvlJc w:val="left"/>
      <w:pPr>
        <w:tabs>
          <w:tab w:val="left" w:pos="420"/>
        </w:tabs>
        <w:ind w:left="425" w:hanging="425"/>
      </w:pPr>
      <w:rPr>
        <w:rFonts w:hint="default"/>
      </w:rPr>
    </w:lvl>
  </w:abstractNum>
  <w:abstractNum w:abstractNumId="32">
    <w:nsid w:val="D226D96D"/>
    <w:multiLevelType w:val="singleLevel"/>
    <w:tmpl w:val="D226D96D"/>
    <w:lvl w:ilvl="0" w:tentative="0">
      <w:start w:val="1"/>
      <w:numFmt w:val="lowerLetter"/>
      <w:lvlText w:val="%1."/>
      <w:lvlJc w:val="left"/>
      <w:pPr>
        <w:ind w:left="425" w:hanging="425"/>
      </w:pPr>
      <w:rPr>
        <w:rFonts w:hint="default"/>
      </w:rPr>
    </w:lvl>
  </w:abstractNum>
  <w:abstractNum w:abstractNumId="33">
    <w:nsid w:val="D242AA68"/>
    <w:multiLevelType w:val="singleLevel"/>
    <w:tmpl w:val="D242AA68"/>
    <w:lvl w:ilvl="0" w:tentative="0">
      <w:start w:val="1"/>
      <w:numFmt w:val="decimal"/>
      <w:lvlText w:val="%1)"/>
      <w:lvlJc w:val="left"/>
      <w:pPr>
        <w:ind w:left="425" w:hanging="425"/>
      </w:pPr>
      <w:rPr>
        <w:rFonts w:hint="default"/>
      </w:rPr>
    </w:lvl>
  </w:abstractNum>
  <w:abstractNum w:abstractNumId="34">
    <w:nsid w:val="D5D7FFF1"/>
    <w:multiLevelType w:val="singleLevel"/>
    <w:tmpl w:val="D5D7FFF1"/>
    <w:lvl w:ilvl="0" w:tentative="0">
      <w:start w:val="1"/>
      <w:numFmt w:val="decimalEnclosedCircleChinese"/>
      <w:suff w:val="nothing"/>
      <w:lvlText w:val="%1　"/>
      <w:lvlJc w:val="left"/>
      <w:pPr>
        <w:ind w:left="0" w:firstLine="400"/>
      </w:pPr>
      <w:rPr>
        <w:rFonts w:hint="eastAsia"/>
      </w:rPr>
    </w:lvl>
  </w:abstractNum>
  <w:abstractNum w:abstractNumId="35">
    <w:nsid w:val="D95A6DAF"/>
    <w:multiLevelType w:val="singleLevel"/>
    <w:tmpl w:val="D95A6DAF"/>
    <w:lvl w:ilvl="0" w:tentative="0">
      <w:start w:val="1"/>
      <w:numFmt w:val="lowerLetter"/>
      <w:lvlText w:val="%1."/>
      <w:lvlJc w:val="left"/>
      <w:pPr>
        <w:ind w:left="425" w:hanging="425"/>
      </w:pPr>
      <w:rPr>
        <w:rFonts w:hint="default"/>
      </w:rPr>
    </w:lvl>
  </w:abstractNum>
  <w:abstractNum w:abstractNumId="36">
    <w:nsid w:val="DC7258E9"/>
    <w:multiLevelType w:val="singleLevel"/>
    <w:tmpl w:val="DC7258E9"/>
    <w:lvl w:ilvl="0" w:tentative="0">
      <w:start w:val="1"/>
      <w:numFmt w:val="lowerLetter"/>
      <w:lvlText w:val="%1."/>
      <w:lvlJc w:val="left"/>
      <w:pPr>
        <w:ind w:left="425" w:hanging="425"/>
      </w:pPr>
      <w:rPr>
        <w:rFonts w:hint="default"/>
      </w:rPr>
    </w:lvl>
  </w:abstractNum>
  <w:abstractNum w:abstractNumId="37">
    <w:nsid w:val="E0AB34CF"/>
    <w:multiLevelType w:val="singleLevel"/>
    <w:tmpl w:val="E0AB34CF"/>
    <w:lvl w:ilvl="0" w:tentative="0">
      <w:start w:val="1"/>
      <w:numFmt w:val="lowerLetter"/>
      <w:lvlText w:val="%1."/>
      <w:lvlJc w:val="left"/>
      <w:pPr>
        <w:ind w:left="425" w:hanging="425"/>
      </w:pPr>
      <w:rPr>
        <w:rFonts w:hint="default"/>
      </w:rPr>
    </w:lvl>
  </w:abstractNum>
  <w:abstractNum w:abstractNumId="38">
    <w:nsid w:val="E3EFC07B"/>
    <w:multiLevelType w:val="singleLevel"/>
    <w:tmpl w:val="E3EFC07B"/>
    <w:lvl w:ilvl="0" w:tentative="0">
      <w:start w:val="1"/>
      <w:numFmt w:val="decimalEnclosedCircleChinese"/>
      <w:suff w:val="nothing"/>
      <w:lvlText w:val="%1　"/>
      <w:lvlJc w:val="left"/>
      <w:pPr>
        <w:ind w:left="0" w:firstLine="400"/>
      </w:pPr>
      <w:rPr>
        <w:rFonts w:hint="eastAsia"/>
      </w:rPr>
    </w:lvl>
  </w:abstractNum>
  <w:abstractNum w:abstractNumId="39">
    <w:nsid w:val="E63CA3C0"/>
    <w:multiLevelType w:val="singleLevel"/>
    <w:tmpl w:val="E63CA3C0"/>
    <w:lvl w:ilvl="0" w:tentative="0">
      <w:start w:val="1"/>
      <w:numFmt w:val="decimalEnclosedCircleChinese"/>
      <w:suff w:val="nothing"/>
      <w:lvlText w:val="%1　"/>
      <w:lvlJc w:val="left"/>
      <w:pPr>
        <w:ind w:left="0" w:firstLine="400"/>
      </w:pPr>
      <w:rPr>
        <w:rFonts w:hint="eastAsia"/>
      </w:rPr>
    </w:lvl>
  </w:abstractNum>
  <w:abstractNum w:abstractNumId="40">
    <w:nsid w:val="EB071E24"/>
    <w:multiLevelType w:val="singleLevel"/>
    <w:tmpl w:val="EB071E24"/>
    <w:lvl w:ilvl="0" w:tentative="0">
      <w:start w:val="1"/>
      <w:numFmt w:val="decimal"/>
      <w:lvlText w:val="附表%1."/>
      <w:lvlJc w:val="left"/>
      <w:pPr>
        <w:tabs>
          <w:tab w:val="left" w:pos="397"/>
        </w:tabs>
        <w:ind w:left="454" w:leftChars="0" w:hanging="454" w:firstLineChars="0"/>
      </w:pPr>
      <w:rPr>
        <w:rFonts w:hint="default"/>
      </w:rPr>
    </w:lvl>
  </w:abstractNum>
  <w:abstractNum w:abstractNumId="41">
    <w:nsid w:val="EFE6FFE1"/>
    <w:multiLevelType w:val="singleLevel"/>
    <w:tmpl w:val="EFE6FFE1"/>
    <w:lvl w:ilvl="0" w:tentative="0">
      <w:start w:val="1"/>
      <w:numFmt w:val="decimal"/>
      <w:lvlText w:val="(%1)"/>
      <w:lvlJc w:val="left"/>
      <w:pPr>
        <w:ind w:left="425" w:hanging="425"/>
      </w:pPr>
      <w:rPr>
        <w:rFonts w:hint="default" w:ascii="仿宋" w:hAnsi="仿宋" w:eastAsia="仿宋" w:cs="仿宋"/>
      </w:rPr>
    </w:lvl>
  </w:abstractNum>
  <w:abstractNum w:abstractNumId="42">
    <w:nsid w:val="F03B4D9A"/>
    <w:multiLevelType w:val="singleLevel"/>
    <w:tmpl w:val="F03B4D9A"/>
    <w:lvl w:ilvl="0" w:tentative="0">
      <w:start w:val="1"/>
      <w:numFmt w:val="decimalEnclosedCircleChinese"/>
      <w:suff w:val="nothing"/>
      <w:lvlText w:val="%1　"/>
      <w:lvlJc w:val="left"/>
      <w:pPr>
        <w:ind w:left="0" w:firstLine="400"/>
      </w:pPr>
      <w:rPr>
        <w:rFonts w:hint="eastAsia"/>
      </w:rPr>
    </w:lvl>
  </w:abstractNum>
  <w:abstractNum w:abstractNumId="43">
    <w:nsid w:val="F318B38E"/>
    <w:multiLevelType w:val="singleLevel"/>
    <w:tmpl w:val="F318B38E"/>
    <w:lvl w:ilvl="0" w:tentative="0">
      <w:start w:val="1"/>
      <w:numFmt w:val="lowerLetter"/>
      <w:lvlText w:val="%1."/>
      <w:lvlJc w:val="left"/>
      <w:pPr>
        <w:ind w:left="425" w:hanging="425"/>
      </w:pPr>
      <w:rPr>
        <w:rFonts w:hint="default"/>
      </w:rPr>
    </w:lvl>
  </w:abstractNum>
  <w:abstractNum w:abstractNumId="44">
    <w:nsid w:val="F792E244"/>
    <w:multiLevelType w:val="singleLevel"/>
    <w:tmpl w:val="F792E244"/>
    <w:lvl w:ilvl="0" w:tentative="0">
      <w:start w:val="1"/>
      <w:numFmt w:val="decimal"/>
      <w:lvlText w:val="%1)"/>
      <w:lvlJc w:val="left"/>
      <w:pPr>
        <w:ind w:left="425" w:hanging="425"/>
      </w:pPr>
      <w:rPr>
        <w:rFonts w:hint="default"/>
      </w:rPr>
    </w:lvl>
  </w:abstractNum>
  <w:abstractNum w:abstractNumId="45">
    <w:nsid w:val="FABAD9FA"/>
    <w:multiLevelType w:val="singleLevel"/>
    <w:tmpl w:val="FABAD9FA"/>
    <w:lvl w:ilvl="0" w:tentative="0">
      <w:start w:val="1"/>
      <w:numFmt w:val="lowerLetter"/>
      <w:lvlText w:val="%1."/>
      <w:lvlJc w:val="left"/>
      <w:pPr>
        <w:ind w:left="425" w:hanging="425"/>
      </w:pPr>
      <w:rPr>
        <w:rFonts w:hint="default"/>
      </w:rPr>
    </w:lvl>
  </w:abstractNum>
  <w:abstractNum w:abstractNumId="46">
    <w:nsid w:val="FC263759"/>
    <w:multiLevelType w:val="singleLevel"/>
    <w:tmpl w:val="FC263759"/>
    <w:lvl w:ilvl="0" w:tentative="0">
      <w:start w:val="1"/>
      <w:numFmt w:val="lowerLetter"/>
      <w:lvlText w:val="%1."/>
      <w:lvlJc w:val="left"/>
      <w:pPr>
        <w:ind w:left="425" w:hanging="425"/>
      </w:pPr>
      <w:rPr>
        <w:rFonts w:hint="default"/>
      </w:rPr>
    </w:lvl>
  </w:abstractNum>
  <w:abstractNum w:abstractNumId="47">
    <w:nsid w:val="01AB4C0D"/>
    <w:multiLevelType w:val="singleLevel"/>
    <w:tmpl w:val="01AB4C0D"/>
    <w:lvl w:ilvl="0" w:tentative="0">
      <w:start w:val="1"/>
      <w:numFmt w:val="decimalEnclosedCircleChinese"/>
      <w:suff w:val="nothing"/>
      <w:lvlText w:val="%1　"/>
      <w:lvlJc w:val="left"/>
      <w:pPr>
        <w:ind w:left="0" w:firstLine="400"/>
      </w:pPr>
      <w:rPr>
        <w:rFonts w:hint="eastAsia"/>
      </w:rPr>
    </w:lvl>
  </w:abstractNum>
  <w:abstractNum w:abstractNumId="48">
    <w:nsid w:val="02216B32"/>
    <w:multiLevelType w:val="multilevel"/>
    <w:tmpl w:val="02216B32"/>
    <w:lvl w:ilvl="0" w:tentative="0">
      <w:start w:val="1"/>
      <w:numFmt w:val="chineseCountingThousand"/>
      <w:pStyle w:val="3"/>
      <w:suff w:val="space"/>
      <w:lvlText w:val="第%1章"/>
      <w:lvlJc w:val="center"/>
      <w:pPr>
        <w:ind w:left="0" w:firstLine="0"/>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tentative="0">
      <w:start w:val="1"/>
      <w:numFmt w:val="chineseCountingThousand"/>
      <w:pStyle w:val="4"/>
      <w:suff w:val="space"/>
      <w:lvlText w:val="第%2节"/>
      <w:lvlJc w:val="center"/>
      <w:pPr>
        <w:ind w:left="0" w:firstLine="57"/>
      </w:pPr>
      <w:rPr>
        <w:rFonts w:hint="eastAsia"/>
      </w:rPr>
    </w:lvl>
    <w:lvl w:ilvl="2" w:tentative="0">
      <w:start w:val="1"/>
      <w:numFmt w:val="chineseCountingThousand"/>
      <w:pStyle w:val="5"/>
      <w:suff w:val="nothing"/>
      <w:lvlText w:val="%3、"/>
      <w:lvlJc w:val="left"/>
      <w:pPr>
        <w:ind w:left="0" w:firstLine="113"/>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3" w:tentative="0">
      <w:start w:val="1"/>
      <w:numFmt w:val="chineseCountingThousand"/>
      <w:pStyle w:val="6"/>
      <w:suff w:val="nothing"/>
      <w:lvlText w:val="（%4）"/>
      <w:lvlJc w:val="left"/>
      <w:pPr>
        <w:ind w:left="0" w:firstLine="170"/>
      </w:pPr>
      <w:rPr>
        <w:rFonts w:hint="eastAsia"/>
      </w:rPr>
    </w:lvl>
    <w:lvl w:ilvl="4" w:tentative="0">
      <w:start w:val="1"/>
      <w:numFmt w:val="decimal"/>
      <w:pStyle w:val="7"/>
      <w:suff w:val="space"/>
      <w:lvlText w:val="%5."/>
      <w:lvlJc w:val="left"/>
      <w:pPr>
        <w:ind w:left="794" w:firstLine="340"/>
      </w:pPr>
      <w:rPr>
        <w:rFonts w:hint="eastAsia"/>
      </w:rPr>
    </w:lvl>
    <w:lvl w:ilvl="5" w:tentative="0">
      <w:start w:val="1"/>
      <w:numFmt w:val="decimal"/>
      <w:pStyle w:val="8"/>
      <w:suff w:val="nothing"/>
      <w:lvlText w:val="（%6）"/>
      <w:lvlJc w:val="left"/>
      <w:pPr>
        <w:ind w:left="1670" w:hanging="1105"/>
      </w:pPr>
      <w:rPr>
        <w:rFonts w:hint="eastAsia"/>
      </w:rPr>
    </w:lvl>
    <w:lvl w:ilvl="6" w:tentative="0">
      <w:start w:val="1"/>
      <w:numFmt w:val="upperRoman"/>
      <w:pStyle w:val="9"/>
      <w:suff w:val="space"/>
      <w:lvlText w:val="%7"/>
      <w:lvlJc w:val="left"/>
      <w:pPr>
        <w:ind w:left="1644" w:hanging="453"/>
      </w:pPr>
      <w:rPr>
        <w:rFonts w:hint="eastAsia"/>
      </w:rPr>
    </w:lvl>
    <w:lvl w:ilvl="7" w:tentative="0">
      <w:start w:val="1"/>
      <w:numFmt w:val="lowerRoman"/>
      <w:pStyle w:val="10"/>
      <w:lvlText w:val="%8"/>
      <w:lvlJc w:val="left"/>
      <w:pPr>
        <w:ind w:left="1701" w:hanging="454"/>
      </w:pPr>
      <w:rPr>
        <w:rFonts w:hint="eastAsia"/>
      </w:rPr>
    </w:lvl>
    <w:lvl w:ilvl="8" w:tentative="0">
      <w:start w:val="1"/>
      <w:numFmt w:val="decimal"/>
      <w:pStyle w:val="11"/>
      <w:lvlText w:val="%9%1.%2.%3.%4.%5.%6.%7.%8.a"/>
      <w:lvlJc w:val="left"/>
      <w:pPr>
        <w:ind w:left="1701" w:hanging="57"/>
      </w:pPr>
      <w:rPr>
        <w:rFonts w:hint="eastAsia"/>
      </w:rPr>
    </w:lvl>
  </w:abstractNum>
  <w:abstractNum w:abstractNumId="49">
    <w:nsid w:val="09F83437"/>
    <w:multiLevelType w:val="singleLevel"/>
    <w:tmpl w:val="09F83437"/>
    <w:lvl w:ilvl="0" w:tentative="0">
      <w:start w:val="1"/>
      <w:numFmt w:val="lowerLetter"/>
      <w:lvlText w:val="%1."/>
      <w:lvlJc w:val="left"/>
      <w:pPr>
        <w:ind w:left="425" w:hanging="425"/>
      </w:pPr>
      <w:rPr>
        <w:rFonts w:hint="default"/>
      </w:rPr>
    </w:lvl>
  </w:abstractNum>
  <w:abstractNum w:abstractNumId="50">
    <w:nsid w:val="0DF513C5"/>
    <w:multiLevelType w:val="singleLevel"/>
    <w:tmpl w:val="0DF513C5"/>
    <w:lvl w:ilvl="0" w:tentative="0">
      <w:start w:val="1"/>
      <w:numFmt w:val="decimal"/>
      <w:lvlText w:val="附图%1."/>
      <w:lvlJc w:val="left"/>
      <w:pPr>
        <w:tabs>
          <w:tab w:val="left" w:pos="397"/>
        </w:tabs>
        <w:ind w:left="454" w:leftChars="0" w:hanging="454" w:firstLineChars="0"/>
      </w:pPr>
      <w:rPr>
        <w:rFonts w:hint="default"/>
      </w:rPr>
    </w:lvl>
  </w:abstractNum>
  <w:abstractNum w:abstractNumId="51">
    <w:nsid w:val="0F6DE0E5"/>
    <w:multiLevelType w:val="singleLevel"/>
    <w:tmpl w:val="0F6DE0E5"/>
    <w:lvl w:ilvl="0" w:tentative="0">
      <w:start w:val="1"/>
      <w:numFmt w:val="decimalEnclosedCircleChinese"/>
      <w:suff w:val="nothing"/>
      <w:lvlText w:val="%1　"/>
      <w:lvlJc w:val="left"/>
      <w:pPr>
        <w:ind w:left="0" w:firstLine="400"/>
      </w:pPr>
      <w:rPr>
        <w:rFonts w:hint="eastAsia"/>
      </w:rPr>
    </w:lvl>
  </w:abstractNum>
  <w:abstractNum w:abstractNumId="52">
    <w:nsid w:val="102EBD6C"/>
    <w:multiLevelType w:val="singleLevel"/>
    <w:tmpl w:val="102EBD6C"/>
    <w:lvl w:ilvl="0" w:tentative="0">
      <w:start w:val="1"/>
      <w:numFmt w:val="decimalEnclosedCircleChinese"/>
      <w:suff w:val="nothing"/>
      <w:lvlText w:val="%1　"/>
      <w:lvlJc w:val="left"/>
      <w:pPr>
        <w:ind w:left="0" w:firstLine="400"/>
      </w:pPr>
      <w:rPr>
        <w:rFonts w:hint="eastAsia"/>
      </w:rPr>
    </w:lvl>
  </w:abstractNum>
  <w:abstractNum w:abstractNumId="53">
    <w:nsid w:val="168770A4"/>
    <w:multiLevelType w:val="singleLevel"/>
    <w:tmpl w:val="168770A4"/>
    <w:lvl w:ilvl="0" w:tentative="0">
      <w:start w:val="1"/>
      <w:numFmt w:val="decimal"/>
      <w:lvlText w:val="%1)"/>
      <w:lvlJc w:val="left"/>
      <w:pPr>
        <w:ind w:left="425" w:hanging="425"/>
      </w:pPr>
      <w:rPr>
        <w:rFonts w:hint="default"/>
      </w:rPr>
    </w:lvl>
  </w:abstractNum>
  <w:abstractNum w:abstractNumId="54">
    <w:nsid w:val="169C1094"/>
    <w:multiLevelType w:val="singleLevel"/>
    <w:tmpl w:val="169C1094"/>
    <w:lvl w:ilvl="0" w:tentative="0">
      <w:start w:val="1"/>
      <w:numFmt w:val="decimal"/>
      <w:lvlText w:val="（%1）"/>
      <w:lvlJc w:val="left"/>
      <w:pPr>
        <w:tabs>
          <w:tab w:val="left" w:pos="420"/>
        </w:tabs>
        <w:ind w:left="425" w:hanging="425"/>
      </w:pPr>
      <w:rPr>
        <w:rFonts w:hint="default"/>
      </w:rPr>
    </w:lvl>
  </w:abstractNum>
  <w:abstractNum w:abstractNumId="55">
    <w:nsid w:val="1E3AD975"/>
    <w:multiLevelType w:val="singleLevel"/>
    <w:tmpl w:val="1E3AD975"/>
    <w:lvl w:ilvl="0" w:tentative="0">
      <w:start w:val="1"/>
      <w:numFmt w:val="decimalEnclosedCircleChinese"/>
      <w:suff w:val="nothing"/>
      <w:lvlText w:val="%1　"/>
      <w:lvlJc w:val="left"/>
      <w:pPr>
        <w:ind w:left="0" w:firstLine="400"/>
      </w:pPr>
      <w:rPr>
        <w:rFonts w:hint="eastAsia"/>
      </w:rPr>
    </w:lvl>
  </w:abstractNum>
  <w:abstractNum w:abstractNumId="56">
    <w:nsid w:val="20246C33"/>
    <w:multiLevelType w:val="singleLevel"/>
    <w:tmpl w:val="20246C33"/>
    <w:lvl w:ilvl="0" w:tentative="0">
      <w:start w:val="1"/>
      <w:numFmt w:val="decimalEnclosedCircleChinese"/>
      <w:suff w:val="nothing"/>
      <w:lvlText w:val="%1　"/>
      <w:lvlJc w:val="left"/>
      <w:pPr>
        <w:ind w:left="0" w:firstLine="400"/>
      </w:pPr>
      <w:rPr>
        <w:rFonts w:hint="eastAsia"/>
      </w:rPr>
    </w:lvl>
  </w:abstractNum>
  <w:abstractNum w:abstractNumId="57">
    <w:nsid w:val="202591A5"/>
    <w:multiLevelType w:val="singleLevel"/>
    <w:tmpl w:val="202591A5"/>
    <w:lvl w:ilvl="0" w:tentative="0">
      <w:start w:val="1"/>
      <w:numFmt w:val="decimalEnclosedCircleChinese"/>
      <w:suff w:val="nothing"/>
      <w:lvlText w:val="%1　"/>
      <w:lvlJc w:val="left"/>
      <w:pPr>
        <w:ind w:left="0" w:firstLine="400"/>
      </w:pPr>
      <w:rPr>
        <w:rFonts w:hint="eastAsia"/>
      </w:rPr>
    </w:lvl>
  </w:abstractNum>
  <w:abstractNum w:abstractNumId="58">
    <w:nsid w:val="2093E409"/>
    <w:multiLevelType w:val="singleLevel"/>
    <w:tmpl w:val="2093E409"/>
    <w:lvl w:ilvl="0" w:tentative="0">
      <w:start w:val="1"/>
      <w:numFmt w:val="decimalEnclosedCircleChinese"/>
      <w:suff w:val="nothing"/>
      <w:lvlText w:val="%1　"/>
      <w:lvlJc w:val="left"/>
      <w:pPr>
        <w:ind w:left="0" w:firstLine="400"/>
      </w:pPr>
      <w:rPr>
        <w:rFonts w:hint="eastAsia"/>
      </w:rPr>
    </w:lvl>
  </w:abstractNum>
  <w:abstractNum w:abstractNumId="59">
    <w:nsid w:val="27417870"/>
    <w:multiLevelType w:val="singleLevel"/>
    <w:tmpl w:val="27417870"/>
    <w:lvl w:ilvl="0" w:tentative="0">
      <w:start w:val="1"/>
      <w:numFmt w:val="decimalEnclosedCircleChinese"/>
      <w:suff w:val="nothing"/>
      <w:lvlText w:val="%1　"/>
      <w:lvlJc w:val="left"/>
      <w:pPr>
        <w:ind w:left="0" w:firstLine="400"/>
      </w:pPr>
      <w:rPr>
        <w:rFonts w:hint="eastAsia"/>
      </w:rPr>
    </w:lvl>
  </w:abstractNum>
  <w:abstractNum w:abstractNumId="60">
    <w:nsid w:val="2A676B99"/>
    <w:multiLevelType w:val="singleLevel"/>
    <w:tmpl w:val="2A676B99"/>
    <w:lvl w:ilvl="0" w:tentative="0">
      <w:start w:val="1"/>
      <w:numFmt w:val="decimalEnclosedCircleChinese"/>
      <w:suff w:val="nothing"/>
      <w:lvlText w:val="%1　"/>
      <w:lvlJc w:val="left"/>
      <w:pPr>
        <w:ind w:left="0" w:firstLine="400"/>
      </w:pPr>
      <w:rPr>
        <w:rFonts w:hint="eastAsia"/>
      </w:rPr>
    </w:lvl>
  </w:abstractNum>
  <w:abstractNum w:abstractNumId="61">
    <w:nsid w:val="312EF50A"/>
    <w:multiLevelType w:val="singleLevel"/>
    <w:tmpl w:val="312EF50A"/>
    <w:lvl w:ilvl="0" w:tentative="0">
      <w:start w:val="1"/>
      <w:numFmt w:val="decimal"/>
      <w:lvlText w:val="（%1）"/>
      <w:lvlJc w:val="left"/>
      <w:pPr>
        <w:tabs>
          <w:tab w:val="left" w:pos="420"/>
        </w:tabs>
        <w:ind w:left="425" w:hanging="425"/>
      </w:pPr>
      <w:rPr>
        <w:rFonts w:hint="default"/>
      </w:rPr>
    </w:lvl>
  </w:abstractNum>
  <w:abstractNum w:abstractNumId="62">
    <w:nsid w:val="3C7BB574"/>
    <w:multiLevelType w:val="multilevel"/>
    <w:tmpl w:val="3C7BB574"/>
    <w:lvl w:ilvl="0" w:tentative="0">
      <w:start w:val="1"/>
      <w:numFmt w:val="chineseCountingThousand"/>
      <w:suff w:val="nothing"/>
      <w:lvlText w:val="%1、"/>
      <w:lvlJc w:val="left"/>
      <w:pPr>
        <w:ind w:left="0" w:firstLine="0"/>
      </w:pPr>
      <w:rPr>
        <w:rFonts w:hint="eastAsia" w:ascii="Times New Roman" w:hAnsi="Times New Roman" w:eastAsia="仿宋"/>
        <w:b/>
        <w:i w:val="0"/>
        <w:sz w:val="32"/>
      </w:rPr>
    </w:lvl>
    <w:lvl w:ilvl="1" w:tentative="0">
      <w:start w:val="1"/>
      <w:numFmt w:val="chineseCountingThousand"/>
      <w:suff w:val="nothing"/>
      <w:lvlText w:val="（%2）"/>
      <w:lvlJc w:val="left"/>
      <w:pPr>
        <w:ind w:left="5925" w:hanging="5528"/>
      </w:pPr>
      <w:rPr>
        <w:rFonts w:hint="eastAsia" w:ascii="仿宋" w:hAnsi="仿宋" w:eastAsia="仿宋" w:cs="仿宋"/>
        <w:sz w:val="28"/>
        <w:szCs w:val="28"/>
      </w:rPr>
    </w:lvl>
    <w:lvl w:ilvl="2" w:tentative="0">
      <w:start w:val="1"/>
      <w:numFmt w:val="decimal"/>
      <w:suff w:val="nothing"/>
      <w:lvlText w:val="%3、"/>
      <w:lvlJc w:val="left"/>
      <w:pPr>
        <w:ind w:left="0" w:firstLine="624"/>
      </w:pPr>
      <w:rPr>
        <w:rFonts w:hint="eastAsia"/>
      </w:rPr>
    </w:lvl>
    <w:lvl w:ilvl="3" w:tentative="0">
      <w:start w:val="1"/>
      <w:numFmt w:val="decimal"/>
      <w:suff w:val="nothing"/>
      <w:lvlText w:val="（%4）"/>
      <w:lvlJc w:val="left"/>
      <w:pPr>
        <w:ind w:left="0" w:firstLine="400"/>
      </w:pPr>
      <w:rPr>
        <w:rFonts w:hint="default" w:ascii="仿宋" w:hAnsi="仿宋" w:eastAsia="仿宋" w:cs="仿宋"/>
        <w:sz w:val="28"/>
        <w:szCs w:val="28"/>
      </w:rPr>
    </w:lvl>
    <w:lvl w:ilvl="4" w:tentative="0">
      <w:start w:val="1"/>
      <w:numFmt w:val="decimal"/>
      <w:suff w:val="nothing"/>
      <w:lvlText w:val="%5）"/>
      <w:lvlJc w:val="left"/>
      <w:pPr>
        <w:ind w:left="1644" w:hanging="102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63">
    <w:nsid w:val="3C7E0429"/>
    <w:multiLevelType w:val="singleLevel"/>
    <w:tmpl w:val="3C7E0429"/>
    <w:lvl w:ilvl="0" w:tentative="0">
      <w:start w:val="1"/>
      <w:numFmt w:val="decimal"/>
      <w:lvlText w:val="%1."/>
      <w:lvlJc w:val="left"/>
      <w:pPr>
        <w:ind w:left="425" w:hanging="425"/>
      </w:pPr>
      <w:rPr>
        <w:rFonts w:hint="default"/>
      </w:rPr>
    </w:lvl>
  </w:abstractNum>
  <w:abstractNum w:abstractNumId="64">
    <w:nsid w:val="3D35752C"/>
    <w:multiLevelType w:val="singleLevel"/>
    <w:tmpl w:val="3D35752C"/>
    <w:lvl w:ilvl="0" w:tentative="0">
      <w:start w:val="1"/>
      <w:numFmt w:val="decimal"/>
      <w:lvlText w:val="（%1）"/>
      <w:lvlJc w:val="left"/>
      <w:pPr>
        <w:tabs>
          <w:tab w:val="left" w:pos="420"/>
        </w:tabs>
        <w:ind w:left="425" w:hanging="425"/>
      </w:pPr>
      <w:rPr>
        <w:rFonts w:hint="default"/>
      </w:rPr>
    </w:lvl>
  </w:abstractNum>
  <w:abstractNum w:abstractNumId="65">
    <w:nsid w:val="3DACCDC9"/>
    <w:multiLevelType w:val="singleLevel"/>
    <w:tmpl w:val="3DACCDC9"/>
    <w:lvl w:ilvl="0" w:tentative="0">
      <w:start w:val="1"/>
      <w:numFmt w:val="lowerLetter"/>
      <w:lvlText w:val="%1."/>
      <w:lvlJc w:val="left"/>
      <w:pPr>
        <w:ind w:left="425" w:hanging="425"/>
      </w:pPr>
      <w:rPr>
        <w:rFonts w:hint="default"/>
      </w:rPr>
    </w:lvl>
  </w:abstractNum>
  <w:abstractNum w:abstractNumId="66">
    <w:nsid w:val="40BC2A6A"/>
    <w:multiLevelType w:val="singleLevel"/>
    <w:tmpl w:val="40BC2A6A"/>
    <w:lvl w:ilvl="0" w:tentative="0">
      <w:start w:val="1"/>
      <w:numFmt w:val="lowerLetter"/>
      <w:lvlText w:val="%1."/>
      <w:lvlJc w:val="left"/>
      <w:pPr>
        <w:ind w:left="425" w:hanging="425"/>
      </w:pPr>
      <w:rPr>
        <w:rFonts w:hint="default"/>
      </w:rPr>
    </w:lvl>
  </w:abstractNum>
  <w:abstractNum w:abstractNumId="67">
    <w:nsid w:val="4335F732"/>
    <w:multiLevelType w:val="singleLevel"/>
    <w:tmpl w:val="4335F732"/>
    <w:lvl w:ilvl="0" w:tentative="0">
      <w:start w:val="1"/>
      <w:numFmt w:val="decimal"/>
      <w:lvlText w:val="%1)"/>
      <w:lvlJc w:val="left"/>
      <w:pPr>
        <w:ind w:left="425" w:hanging="425"/>
      </w:pPr>
      <w:rPr>
        <w:rFonts w:hint="default"/>
      </w:rPr>
    </w:lvl>
  </w:abstractNum>
  <w:abstractNum w:abstractNumId="68">
    <w:nsid w:val="44928DCB"/>
    <w:multiLevelType w:val="singleLevel"/>
    <w:tmpl w:val="44928DCB"/>
    <w:lvl w:ilvl="0" w:tentative="0">
      <w:start w:val="1"/>
      <w:numFmt w:val="decimal"/>
      <w:lvlText w:val="表%1"/>
      <w:lvlJc w:val="center"/>
      <w:pPr>
        <w:tabs>
          <w:tab w:val="left" w:pos="0"/>
        </w:tabs>
        <w:ind w:left="0" w:leftChars="0" w:firstLine="0" w:firstLineChars="0"/>
      </w:pPr>
      <w:rPr>
        <w:rFonts w:hint="default"/>
      </w:rPr>
    </w:lvl>
  </w:abstractNum>
  <w:abstractNum w:abstractNumId="69">
    <w:nsid w:val="450BB955"/>
    <w:multiLevelType w:val="singleLevel"/>
    <w:tmpl w:val="450BB955"/>
    <w:lvl w:ilvl="0" w:tentative="0">
      <w:start w:val="1"/>
      <w:numFmt w:val="decimal"/>
      <w:lvlText w:val="%1."/>
      <w:lvlJc w:val="left"/>
      <w:pPr>
        <w:ind w:left="425" w:hanging="425"/>
      </w:pPr>
      <w:rPr>
        <w:rFonts w:hint="default"/>
      </w:rPr>
    </w:lvl>
  </w:abstractNum>
  <w:abstractNum w:abstractNumId="70">
    <w:nsid w:val="46FF1102"/>
    <w:multiLevelType w:val="singleLevel"/>
    <w:tmpl w:val="46FF1102"/>
    <w:lvl w:ilvl="0" w:tentative="0">
      <w:start w:val="1"/>
      <w:numFmt w:val="decimal"/>
      <w:lvlText w:val="%1)"/>
      <w:lvlJc w:val="left"/>
      <w:pPr>
        <w:ind w:left="425" w:hanging="425"/>
      </w:pPr>
      <w:rPr>
        <w:rFonts w:hint="default"/>
      </w:rPr>
    </w:lvl>
  </w:abstractNum>
  <w:abstractNum w:abstractNumId="71">
    <w:nsid w:val="47DD2D81"/>
    <w:multiLevelType w:val="multilevel"/>
    <w:tmpl w:val="47DD2D81"/>
    <w:lvl w:ilvl="0" w:tentative="0">
      <w:start w:val="1"/>
      <w:numFmt w:val="chineseCountingThousand"/>
      <w:suff w:val="nothing"/>
      <w:lvlText w:val="%1、"/>
      <w:lvlJc w:val="left"/>
      <w:pPr>
        <w:ind w:left="0" w:firstLine="0"/>
      </w:pPr>
      <w:rPr>
        <w:rFonts w:hint="eastAsia" w:ascii="Times New Roman" w:hAnsi="Times New Roman" w:eastAsia="仿宋"/>
        <w:b/>
        <w:i w:val="0"/>
        <w:sz w:val="32"/>
      </w:rPr>
    </w:lvl>
    <w:lvl w:ilvl="1" w:tentative="0">
      <w:start w:val="1"/>
      <w:numFmt w:val="chineseCountingThousand"/>
      <w:suff w:val="nothing"/>
      <w:lvlText w:val="（%2）"/>
      <w:lvlJc w:val="left"/>
      <w:pPr>
        <w:ind w:left="5925" w:hanging="5528"/>
      </w:pPr>
      <w:rPr>
        <w:rFonts w:hint="eastAsia" w:ascii="仿宋" w:hAnsi="仿宋" w:eastAsia="仿宋" w:cs="仿宋"/>
        <w:sz w:val="28"/>
        <w:szCs w:val="28"/>
      </w:rPr>
    </w:lvl>
    <w:lvl w:ilvl="2" w:tentative="0">
      <w:start w:val="1"/>
      <w:numFmt w:val="decimal"/>
      <w:suff w:val="nothing"/>
      <w:lvlText w:val="%3、"/>
      <w:lvlJc w:val="left"/>
      <w:pPr>
        <w:ind w:left="0" w:firstLine="624"/>
      </w:pPr>
      <w:rPr>
        <w:rFonts w:hint="eastAsia"/>
      </w:rPr>
    </w:lvl>
    <w:lvl w:ilvl="3" w:tentative="0">
      <w:start w:val="1"/>
      <w:numFmt w:val="decimal"/>
      <w:suff w:val="nothing"/>
      <w:lvlText w:val="（%4）"/>
      <w:lvlJc w:val="left"/>
      <w:pPr>
        <w:ind w:left="0" w:firstLine="400"/>
      </w:pPr>
      <w:rPr>
        <w:rFonts w:hint="default" w:ascii="仿宋" w:hAnsi="仿宋" w:eastAsia="仿宋" w:cs="仿宋"/>
        <w:sz w:val="28"/>
        <w:szCs w:val="28"/>
      </w:rPr>
    </w:lvl>
    <w:lvl w:ilvl="4" w:tentative="0">
      <w:start w:val="1"/>
      <w:numFmt w:val="decimal"/>
      <w:suff w:val="nothing"/>
      <w:lvlText w:val="%5）"/>
      <w:lvlJc w:val="left"/>
      <w:pPr>
        <w:ind w:left="1644" w:hanging="102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72">
    <w:nsid w:val="4A48AD88"/>
    <w:multiLevelType w:val="singleLevel"/>
    <w:tmpl w:val="4A48AD88"/>
    <w:lvl w:ilvl="0" w:tentative="0">
      <w:start w:val="1"/>
      <w:numFmt w:val="lowerLetter"/>
      <w:lvlText w:val="%1."/>
      <w:lvlJc w:val="left"/>
      <w:pPr>
        <w:ind w:left="425" w:hanging="425"/>
      </w:pPr>
      <w:rPr>
        <w:rFonts w:hint="default"/>
      </w:rPr>
    </w:lvl>
  </w:abstractNum>
  <w:abstractNum w:abstractNumId="73">
    <w:nsid w:val="4FC34139"/>
    <w:multiLevelType w:val="singleLevel"/>
    <w:tmpl w:val="4FC34139"/>
    <w:lvl w:ilvl="0" w:tentative="0">
      <w:start w:val="1"/>
      <w:numFmt w:val="decimalEnclosedCircleChinese"/>
      <w:suff w:val="nothing"/>
      <w:lvlText w:val="%1　"/>
      <w:lvlJc w:val="left"/>
      <w:pPr>
        <w:ind w:left="0" w:firstLine="400"/>
      </w:pPr>
      <w:rPr>
        <w:rFonts w:hint="eastAsia"/>
      </w:rPr>
    </w:lvl>
  </w:abstractNum>
  <w:abstractNum w:abstractNumId="74">
    <w:nsid w:val="5090ECBA"/>
    <w:multiLevelType w:val="multilevel"/>
    <w:tmpl w:val="5090ECBA"/>
    <w:lvl w:ilvl="0" w:tentative="0">
      <w:start w:val="1"/>
      <w:numFmt w:val="decimal"/>
      <w:pStyle w:val="81"/>
      <w:suff w:val="nothing"/>
      <w:lvlText w:val="表%1."/>
      <w:lvlJc w:val="left"/>
      <w:pPr>
        <w:ind w:left="1080" w:hanging="440"/>
      </w:pPr>
      <w:rPr>
        <w:rFonts w:hint="default" w:ascii="Times New Roman" w:hAnsi="Times New Roman" w:cs="Times New Roman"/>
        <w:sz w:val="28"/>
        <w:szCs w:val="21"/>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75">
    <w:nsid w:val="57133F65"/>
    <w:multiLevelType w:val="multilevel"/>
    <w:tmpl w:val="57133F65"/>
    <w:lvl w:ilvl="0" w:tentative="0">
      <w:start w:val="1"/>
      <w:numFmt w:val="decimal"/>
      <w:lvlText w:val="第%1章 "/>
      <w:lvlJc w:val="left"/>
      <w:pPr>
        <w:tabs>
          <w:tab w:val="left" w:pos="425"/>
        </w:tabs>
        <w:ind w:left="425" w:hanging="425"/>
      </w:pPr>
      <w:rPr>
        <w:rFonts w:hint="eastAsia"/>
      </w:rPr>
    </w:lvl>
    <w:lvl w:ilvl="1" w:tentative="0">
      <w:start w:val="1"/>
      <w:numFmt w:val="decimal"/>
      <w:lvlText w:val="%1.%2 "/>
      <w:lvlJc w:val="left"/>
      <w:pPr>
        <w:tabs>
          <w:tab w:val="left" w:pos="567"/>
        </w:tabs>
        <w:ind w:left="567" w:hanging="567"/>
      </w:pPr>
      <w:rPr>
        <w:rFonts w:hint="default"/>
        <w:b/>
        <w:bCs/>
        <w:sz w:val="28"/>
        <w:szCs w:val="28"/>
      </w:rPr>
    </w:lvl>
    <w:lvl w:ilvl="2" w:tentative="0">
      <w:start w:val="1"/>
      <w:numFmt w:val="decimal"/>
      <w:pStyle w:val="77"/>
      <w:lvlText w:val="%1.%2.%3 "/>
      <w:lvlJc w:val="left"/>
      <w:pPr>
        <w:tabs>
          <w:tab w:val="left" w:pos="709"/>
        </w:tabs>
        <w:ind w:left="709" w:hanging="709"/>
      </w:pPr>
      <w:rPr>
        <w:rFonts w:hint="eastAsia"/>
        <w:b/>
      </w:rPr>
    </w:lvl>
    <w:lvl w:ilvl="3" w:tentative="0">
      <w:start w:val="1"/>
      <w:numFmt w:val="decimal"/>
      <w:pStyle w:val="72"/>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6">
    <w:nsid w:val="5EAC11B6"/>
    <w:multiLevelType w:val="singleLevel"/>
    <w:tmpl w:val="5EAC11B6"/>
    <w:lvl w:ilvl="0" w:tentative="0">
      <w:start w:val="1"/>
      <w:numFmt w:val="decimalEnclosedCircleChinese"/>
      <w:suff w:val="nothing"/>
      <w:lvlText w:val="%1　"/>
      <w:lvlJc w:val="left"/>
      <w:pPr>
        <w:ind w:left="0" w:firstLine="400"/>
      </w:pPr>
      <w:rPr>
        <w:rFonts w:hint="eastAsia"/>
      </w:rPr>
    </w:lvl>
  </w:abstractNum>
  <w:abstractNum w:abstractNumId="77">
    <w:nsid w:val="5F26DDA9"/>
    <w:multiLevelType w:val="singleLevel"/>
    <w:tmpl w:val="5F26DDA9"/>
    <w:lvl w:ilvl="0" w:tentative="0">
      <w:start w:val="1"/>
      <w:numFmt w:val="lowerLetter"/>
      <w:lvlText w:val="%1."/>
      <w:lvlJc w:val="left"/>
      <w:pPr>
        <w:ind w:left="425" w:hanging="425"/>
      </w:pPr>
      <w:rPr>
        <w:rFonts w:hint="default"/>
      </w:rPr>
    </w:lvl>
  </w:abstractNum>
  <w:abstractNum w:abstractNumId="78">
    <w:nsid w:val="61528883"/>
    <w:multiLevelType w:val="singleLevel"/>
    <w:tmpl w:val="61528883"/>
    <w:lvl w:ilvl="0" w:tentative="0">
      <w:start w:val="1"/>
      <w:numFmt w:val="decimal"/>
      <w:suff w:val="nothing"/>
      <w:lvlText w:val="%1）"/>
      <w:lvlJc w:val="left"/>
    </w:lvl>
  </w:abstractNum>
  <w:abstractNum w:abstractNumId="79">
    <w:nsid w:val="61A7E1EC"/>
    <w:multiLevelType w:val="singleLevel"/>
    <w:tmpl w:val="61A7E1EC"/>
    <w:lvl w:ilvl="0" w:tentative="0">
      <w:start w:val="1"/>
      <w:numFmt w:val="decimalEnclosedCircleChinese"/>
      <w:suff w:val="nothing"/>
      <w:lvlText w:val="%1　"/>
      <w:lvlJc w:val="left"/>
      <w:pPr>
        <w:ind w:left="0" w:firstLine="400"/>
      </w:pPr>
      <w:rPr>
        <w:rFonts w:hint="eastAsia"/>
      </w:rPr>
    </w:lvl>
  </w:abstractNum>
  <w:abstractNum w:abstractNumId="80">
    <w:nsid w:val="65737093"/>
    <w:multiLevelType w:val="singleLevel"/>
    <w:tmpl w:val="65737093"/>
    <w:lvl w:ilvl="0" w:tentative="0">
      <w:start w:val="1"/>
      <w:numFmt w:val="decimal"/>
      <w:lvlText w:val="%1."/>
      <w:lvlJc w:val="left"/>
      <w:pPr>
        <w:ind w:left="425" w:hanging="425"/>
      </w:pPr>
      <w:rPr>
        <w:rFonts w:hint="default"/>
      </w:rPr>
    </w:lvl>
  </w:abstractNum>
  <w:abstractNum w:abstractNumId="81">
    <w:nsid w:val="697A70EF"/>
    <w:multiLevelType w:val="singleLevel"/>
    <w:tmpl w:val="697A70EF"/>
    <w:lvl w:ilvl="0" w:tentative="0">
      <w:start w:val="1"/>
      <w:numFmt w:val="decimal"/>
      <w:lvlText w:val="%1)"/>
      <w:lvlJc w:val="left"/>
      <w:pPr>
        <w:ind w:left="425" w:hanging="425"/>
      </w:pPr>
      <w:rPr>
        <w:rFonts w:hint="default"/>
      </w:rPr>
    </w:lvl>
  </w:abstractNum>
  <w:abstractNum w:abstractNumId="82">
    <w:nsid w:val="6C704F65"/>
    <w:multiLevelType w:val="singleLevel"/>
    <w:tmpl w:val="6C704F65"/>
    <w:lvl w:ilvl="0" w:tentative="0">
      <w:start w:val="1"/>
      <w:numFmt w:val="decimal"/>
      <w:lvlText w:val="（%1）"/>
      <w:lvlJc w:val="left"/>
      <w:pPr>
        <w:tabs>
          <w:tab w:val="left" w:pos="420"/>
        </w:tabs>
        <w:ind w:left="425" w:hanging="425"/>
      </w:pPr>
      <w:rPr>
        <w:rFonts w:hint="default"/>
      </w:rPr>
    </w:lvl>
  </w:abstractNum>
  <w:abstractNum w:abstractNumId="83">
    <w:nsid w:val="6D6FC4D0"/>
    <w:multiLevelType w:val="singleLevel"/>
    <w:tmpl w:val="6D6FC4D0"/>
    <w:lvl w:ilvl="0" w:tentative="0">
      <w:start w:val="1"/>
      <w:numFmt w:val="decimal"/>
      <w:lvlText w:val="图%1."/>
      <w:lvlJc w:val="left"/>
      <w:pPr>
        <w:tabs>
          <w:tab w:val="left" w:pos="397"/>
        </w:tabs>
        <w:ind w:left="454" w:leftChars="0" w:hanging="454" w:firstLineChars="0"/>
      </w:pPr>
      <w:rPr>
        <w:rFonts w:hint="default"/>
      </w:rPr>
    </w:lvl>
  </w:abstractNum>
  <w:abstractNum w:abstractNumId="84">
    <w:nsid w:val="7169EE23"/>
    <w:multiLevelType w:val="singleLevel"/>
    <w:tmpl w:val="7169EE23"/>
    <w:lvl w:ilvl="0" w:tentative="0">
      <w:start w:val="1"/>
      <w:numFmt w:val="decimalEnclosedCircleChinese"/>
      <w:suff w:val="nothing"/>
      <w:lvlText w:val="%1　"/>
      <w:lvlJc w:val="left"/>
      <w:pPr>
        <w:ind w:left="0" w:firstLine="400"/>
      </w:pPr>
      <w:rPr>
        <w:rFonts w:hint="eastAsia"/>
      </w:rPr>
    </w:lvl>
  </w:abstractNum>
  <w:abstractNum w:abstractNumId="85">
    <w:nsid w:val="74051FB9"/>
    <w:multiLevelType w:val="singleLevel"/>
    <w:tmpl w:val="74051FB9"/>
    <w:lvl w:ilvl="0" w:tentative="0">
      <w:start w:val="1"/>
      <w:numFmt w:val="decimal"/>
      <w:lvlText w:val="%1）"/>
      <w:lvlJc w:val="left"/>
      <w:pPr>
        <w:tabs>
          <w:tab w:val="left" w:pos="420"/>
        </w:tabs>
        <w:ind w:left="425" w:hanging="425"/>
      </w:pPr>
      <w:rPr>
        <w:rFonts w:hint="default"/>
      </w:rPr>
    </w:lvl>
  </w:abstractNum>
  <w:abstractNum w:abstractNumId="86">
    <w:nsid w:val="761725DB"/>
    <w:multiLevelType w:val="singleLevel"/>
    <w:tmpl w:val="761725DB"/>
    <w:lvl w:ilvl="0" w:tentative="0">
      <w:start w:val="1"/>
      <w:numFmt w:val="decimal"/>
      <w:lvlText w:val="（%1）"/>
      <w:lvlJc w:val="left"/>
      <w:pPr>
        <w:tabs>
          <w:tab w:val="left" w:pos="420"/>
        </w:tabs>
        <w:ind w:left="425" w:hanging="425"/>
      </w:pPr>
      <w:rPr>
        <w:rFonts w:hint="default"/>
      </w:rPr>
    </w:lvl>
  </w:abstractNum>
  <w:abstractNum w:abstractNumId="87">
    <w:nsid w:val="7F35D990"/>
    <w:multiLevelType w:val="singleLevel"/>
    <w:tmpl w:val="7F35D990"/>
    <w:lvl w:ilvl="0" w:tentative="0">
      <w:start w:val="1"/>
      <w:numFmt w:val="lowerLetter"/>
      <w:lvlText w:val="%1."/>
      <w:lvlJc w:val="left"/>
      <w:pPr>
        <w:ind w:left="425" w:hanging="425"/>
      </w:pPr>
      <w:rPr>
        <w:rFonts w:hint="default"/>
      </w:rPr>
    </w:lvl>
  </w:abstractNum>
  <w:num w:numId="1">
    <w:abstractNumId w:val="48"/>
  </w:num>
  <w:num w:numId="2">
    <w:abstractNumId w:val="75"/>
  </w:num>
  <w:num w:numId="3">
    <w:abstractNumId w:val="74"/>
  </w:num>
  <w:num w:numId="4">
    <w:abstractNumId w:val="30"/>
  </w:num>
  <w:num w:numId="5">
    <w:abstractNumId w:val="73"/>
  </w:num>
  <w:num w:numId="6">
    <w:abstractNumId w:val="58"/>
  </w:num>
  <w:num w:numId="7">
    <w:abstractNumId w:val="51"/>
  </w:num>
  <w:num w:numId="8">
    <w:abstractNumId w:val="3"/>
  </w:num>
  <w:num w:numId="9">
    <w:abstractNumId w:val="83"/>
  </w:num>
  <w:num w:numId="10">
    <w:abstractNumId w:val="68"/>
  </w:num>
  <w:num w:numId="11">
    <w:abstractNumId w:val="80"/>
  </w:num>
  <w:num w:numId="12">
    <w:abstractNumId w:val="63"/>
  </w:num>
  <w:num w:numId="13">
    <w:abstractNumId w:val="61"/>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1"/>
  </w:num>
  <w:num w:numId="17">
    <w:abstractNumId w:val="59"/>
  </w:num>
  <w:num w:numId="18">
    <w:abstractNumId w:val="87"/>
  </w:num>
  <w:num w:numId="19">
    <w:abstractNumId w:val="76"/>
  </w:num>
  <w:num w:numId="20">
    <w:abstractNumId w:val="82"/>
  </w:num>
  <w:num w:numId="21">
    <w:abstractNumId w:val="69"/>
  </w:num>
  <w:num w:numId="22">
    <w:abstractNumId w:val="23"/>
  </w:num>
  <w:num w:numId="23">
    <w:abstractNumId w:val="8"/>
  </w:num>
  <w:num w:numId="24">
    <w:abstractNumId w:val="12"/>
  </w:num>
  <w:num w:numId="25">
    <w:abstractNumId w:val="16"/>
  </w:num>
  <w:num w:numId="26">
    <w:abstractNumId w:val="39"/>
  </w:num>
  <w:num w:numId="27">
    <w:abstractNumId w:val="9"/>
  </w:num>
  <w:num w:numId="28">
    <w:abstractNumId w:val="52"/>
  </w:num>
  <w:num w:numId="29">
    <w:abstractNumId w:val="77"/>
  </w:num>
  <w:num w:numId="30">
    <w:abstractNumId w:val="37"/>
  </w:num>
  <w:num w:numId="31">
    <w:abstractNumId w:val="11"/>
  </w:num>
  <w:num w:numId="32">
    <w:abstractNumId w:val="2"/>
  </w:num>
  <w:num w:numId="33">
    <w:abstractNumId w:val="66"/>
  </w:num>
  <w:num w:numId="34">
    <w:abstractNumId w:val="43"/>
  </w:num>
  <w:num w:numId="35">
    <w:abstractNumId w:val="28"/>
  </w:num>
  <w:num w:numId="36">
    <w:abstractNumId w:val="34"/>
  </w:num>
  <w:num w:numId="37">
    <w:abstractNumId w:val="21"/>
  </w:num>
  <w:num w:numId="38">
    <w:abstractNumId w:val="79"/>
  </w:num>
  <w:num w:numId="39">
    <w:abstractNumId w:val="24"/>
  </w:num>
  <w:num w:numId="40">
    <w:abstractNumId w:val="32"/>
  </w:num>
  <w:num w:numId="41">
    <w:abstractNumId w:val="6"/>
  </w:num>
  <w:num w:numId="42">
    <w:abstractNumId w:val="49"/>
  </w:num>
  <w:num w:numId="43">
    <w:abstractNumId w:val="13"/>
  </w:num>
  <w:num w:numId="44">
    <w:abstractNumId w:val="35"/>
  </w:num>
  <w:num w:numId="45">
    <w:abstractNumId w:val="15"/>
  </w:num>
  <w:num w:numId="46">
    <w:abstractNumId w:val="36"/>
  </w:num>
  <w:num w:numId="47">
    <w:abstractNumId w:val="46"/>
  </w:num>
  <w:num w:numId="48">
    <w:abstractNumId w:val="45"/>
  </w:num>
  <w:num w:numId="49">
    <w:abstractNumId w:val="5"/>
  </w:num>
  <w:num w:numId="50">
    <w:abstractNumId w:val="72"/>
  </w:num>
  <w:num w:numId="51">
    <w:abstractNumId w:val="22"/>
  </w:num>
  <w:num w:numId="52">
    <w:abstractNumId w:val="65"/>
  </w:num>
  <w:num w:numId="53">
    <w:abstractNumId w:val="60"/>
  </w:num>
  <w:num w:numId="54">
    <w:abstractNumId w:val="0"/>
  </w:num>
  <w:num w:numId="55">
    <w:abstractNumId w:val="1"/>
  </w:num>
  <w:num w:numId="56">
    <w:abstractNumId w:val="84"/>
  </w:num>
  <w:num w:numId="57">
    <w:abstractNumId w:val="55"/>
  </w:num>
  <w:num w:numId="58">
    <w:abstractNumId w:val="57"/>
  </w:num>
  <w:num w:numId="59">
    <w:abstractNumId w:val="20"/>
  </w:num>
  <w:num w:numId="60">
    <w:abstractNumId w:val="86"/>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26"/>
  </w:num>
  <w:num w:numId="67">
    <w:abstractNumId w:val="29"/>
  </w:num>
  <w:num w:numId="68">
    <w:abstractNumId w:val="70"/>
  </w:num>
  <w:num w:numId="69">
    <w:abstractNumId w:val="18"/>
  </w:num>
  <w:num w:numId="70">
    <w:abstractNumId w:val="81"/>
  </w:num>
  <w:num w:numId="71">
    <w:abstractNumId w:val="67"/>
  </w:num>
  <w:num w:numId="72">
    <w:abstractNumId w:val="33"/>
  </w:num>
  <w:num w:numId="73">
    <w:abstractNumId w:val="27"/>
  </w:num>
  <w:num w:numId="74">
    <w:abstractNumId w:val="19"/>
  </w:num>
  <w:num w:numId="75">
    <w:abstractNumId w:val="38"/>
  </w:num>
  <w:num w:numId="76">
    <w:abstractNumId w:val="42"/>
  </w:num>
  <w:num w:numId="77">
    <w:abstractNumId w:val="56"/>
  </w:num>
  <w:num w:numId="78">
    <w:abstractNumId w:val="47"/>
  </w:num>
  <w:num w:numId="79">
    <w:abstractNumId w:val="85"/>
  </w:num>
  <w:num w:numId="80">
    <w:abstractNumId w:val="10"/>
  </w:num>
  <w:num w:numId="81">
    <w:abstractNumId w:val="25"/>
  </w:num>
  <w:num w:numId="82">
    <w:abstractNumId w:val="64"/>
  </w:num>
  <w:num w:numId="83">
    <w:abstractNumId w:val="78"/>
  </w:num>
  <w:num w:numId="84">
    <w:abstractNumId w:val="7"/>
  </w:num>
  <w:num w:numId="85">
    <w:abstractNumId w:val="14"/>
  </w:num>
  <w:num w:numId="86">
    <w:abstractNumId w:val="44"/>
  </w:num>
  <w:num w:numId="87">
    <w:abstractNumId w:val="53"/>
  </w:num>
  <w:num w:numId="88">
    <w:abstractNumId w:val="5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num>
  <w:num w:numId="91">
    <w:abstractNumId w:val="4"/>
  </w:num>
  <w:num w:numId="9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172A27"/>
    <w:rsid w:val="00003895"/>
    <w:rsid w:val="00010268"/>
    <w:rsid w:val="0001412E"/>
    <w:rsid w:val="00024225"/>
    <w:rsid w:val="00027742"/>
    <w:rsid w:val="00027E4D"/>
    <w:rsid w:val="000327E8"/>
    <w:rsid w:val="000438D8"/>
    <w:rsid w:val="00045E91"/>
    <w:rsid w:val="00087376"/>
    <w:rsid w:val="00090DD1"/>
    <w:rsid w:val="00092589"/>
    <w:rsid w:val="000F3510"/>
    <w:rsid w:val="00170838"/>
    <w:rsid w:val="001809C9"/>
    <w:rsid w:val="00193298"/>
    <w:rsid w:val="001971D0"/>
    <w:rsid w:val="001C1C01"/>
    <w:rsid w:val="001C44FA"/>
    <w:rsid w:val="001D361E"/>
    <w:rsid w:val="0020109C"/>
    <w:rsid w:val="00202329"/>
    <w:rsid w:val="00245DC7"/>
    <w:rsid w:val="00250E66"/>
    <w:rsid w:val="00260F21"/>
    <w:rsid w:val="00293C7E"/>
    <w:rsid w:val="002A4AF6"/>
    <w:rsid w:val="002A7B47"/>
    <w:rsid w:val="002B5EEE"/>
    <w:rsid w:val="002D6988"/>
    <w:rsid w:val="002E2D49"/>
    <w:rsid w:val="00305C5D"/>
    <w:rsid w:val="00350211"/>
    <w:rsid w:val="00394831"/>
    <w:rsid w:val="003A2B06"/>
    <w:rsid w:val="003A2F20"/>
    <w:rsid w:val="003B5685"/>
    <w:rsid w:val="003C1351"/>
    <w:rsid w:val="003E6E34"/>
    <w:rsid w:val="00404F15"/>
    <w:rsid w:val="00412D35"/>
    <w:rsid w:val="00421C03"/>
    <w:rsid w:val="0044164C"/>
    <w:rsid w:val="0044724D"/>
    <w:rsid w:val="004513DB"/>
    <w:rsid w:val="004516B7"/>
    <w:rsid w:val="0045475C"/>
    <w:rsid w:val="00481CFA"/>
    <w:rsid w:val="004B7A8D"/>
    <w:rsid w:val="004F5229"/>
    <w:rsid w:val="005442AB"/>
    <w:rsid w:val="00545289"/>
    <w:rsid w:val="00546212"/>
    <w:rsid w:val="00546D14"/>
    <w:rsid w:val="005D669A"/>
    <w:rsid w:val="005E56CE"/>
    <w:rsid w:val="0060024C"/>
    <w:rsid w:val="006031C4"/>
    <w:rsid w:val="00615307"/>
    <w:rsid w:val="00684BAE"/>
    <w:rsid w:val="006B25BD"/>
    <w:rsid w:val="006C5BE6"/>
    <w:rsid w:val="006D220B"/>
    <w:rsid w:val="006E73DF"/>
    <w:rsid w:val="006F498C"/>
    <w:rsid w:val="00700878"/>
    <w:rsid w:val="00730A9E"/>
    <w:rsid w:val="00731A65"/>
    <w:rsid w:val="00740974"/>
    <w:rsid w:val="00772CCD"/>
    <w:rsid w:val="007760B6"/>
    <w:rsid w:val="007B74ED"/>
    <w:rsid w:val="007D67A2"/>
    <w:rsid w:val="007E1A4B"/>
    <w:rsid w:val="007E3EAC"/>
    <w:rsid w:val="00801835"/>
    <w:rsid w:val="00804876"/>
    <w:rsid w:val="0081103C"/>
    <w:rsid w:val="0081212A"/>
    <w:rsid w:val="008333E7"/>
    <w:rsid w:val="008352F1"/>
    <w:rsid w:val="00864278"/>
    <w:rsid w:val="00870180"/>
    <w:rsid w:val="00885440"/>
    <w:rsid w:val="008B5231"/>
    <w:rsid w:val="008E39EB"/>
    <w:rsid w:val="00907D82"/>
    <w:rsid w:val="009124B8"/>
    <w:rsid w:val="00937237"/>
    <w:rsid w:val="00950874"/>
    <w:rsid w:val="00952D77"/>
    <w:rsid w:val="009B7DF0"/>
    <w:rsid w:val="009C0729"/>
    <w:rsid w:val="009E0A80"/>
    <w:rsid w:val="009E1021"/>
    <w:rsid w:val="009E3568"/>
    <w:rsid w:val="009E392F"/>
    <w:rsid w:val="009E6E19"/>
    <w:rsid w:val="00A07E45"/>
    <w:rsid w:val="00A212D8"/>
    <w:rsid w:val="00A412BA"/>
    <w:rsid w:val="00AA643E"/>
    <w:rsid w:val="00AB538C"/>
    <w:rsid w:val="00AD13C6"/>
    <w:rsid w:val="00AF3DE9"/>
    <w:rsid w:val="00AF7BB9"/>
    <w:rsid w:val="00B031B1"/>
    <w:rsid w:val="00B072C7"/>
    <w:rsid w:val="00B23248"/>
    <w:rsid w:val="00B25F13"/>
    <w:rsid w:val="00B32FF0"/>
    <w:rsid w:val="00B3647B"/>
    <w:rsid w:val="00BB3351"/>
    <w:rsid w:val="00BB4386"/>
    <w:rsid w:val="00BB6025"/>
    <w:rsid w:val="00BC3EFD"/>
    <w:rsid w:val="00BD74EE"/>
    <w:rsid w:val="00C3368C"/>
    <w:rsid w:val="00C3571E"/>
    <w:rsid w:val="00C461E4"/>
    <w:rsid w:val="00C74479"/>
    <w:rsid w:val="00C84130"/>
    <w:rsid w:val="00CB187B"/>
    <w:rsid w:val="00CC7EF3"/>
    <w:rsid w:val="00CE620B"/>
    <w:rsid w:val="00CF278A"/>
    <w:rsid w:val="00D65910"/>
    <w:rsid w:val="00D84AFE"/>
    <w:rsid w:val="00D9105E"/>
    <w:rsid w:val="00D95188"/>
    <w:rsid w:val="00DA324E"/>
    <w:rsid w:val="00DA4AAB"/>
    <w:rsid w:val="00DB56E4"/>
    <w:rsid w:val="00DC2359"/>
    <w:rsid w:val="00DC3875"/>
    <w:rsid w:val="00DE74F2"/>
    <w:rsid w:val="00DF06B6"/>
    <w:rsid w:val="00E23E62"/>
    <w:rsid w:val="00E24A1B"/>
    <w:rsid w:val="00E47EA5"/>
    <w:rsid w:val="00E517BC"/>
    <w:rsid w:val="00E63DB9"/>
    <w:rsid w:val="00E7628A"/>
    <w:rsid w:val="00E84EAB"/>
    <w:rsid w:val="00E9192D"/>
    <w:rsid w:val="00EA27C7"/>
    <w:rsid w:val="00EC687E"/>
    <w:rsid w:val="00EF2286"/>
    <w:rsid w:val="00F000EB"/>
    <w:rsid w:val="00F169A9"/>
    <w:rsid w:val="00F337F3"/>
    <w:rsid w:val="00F55894"/>
    <w:rsid w:val="00FB3ECD"/>
    <w:rsid w:val="00FC2EE6"/>
    <w:rsid w:val="00FC60E6"/>
    <w:rsid w:val="00FD25F7"/>
    <w:rsid w:val="00FD3052"/>
    <w:rsid w:val="00FE2AA4"/>
    <w:rsid w:val="00FF68C4"/>
    <w:rsid w:val="010626F3"/>
    <w:rsid w:val="015D117E"/>
    <w:rsid w:val="01607A86"/>
    <w:rsid w:val="01863B5B"/>
    <w:rsid w:val="01980114"/>
    <w:rsid w:val="01AE47AD"/>
    <w:rsid w:val="01D17056"/>
    <w:rsid w:val="01D66A1A"/>
    <w:rsid w:val="01F06F3D"/>
    <w:rsid w:val="01FE25EE"/>
    <w:rsid w:val="02021905"/>
    <w:rsid w:val="02247ACE"/>
    <w:rsid w:val="026C0522"/>
    <w:rsid w:val="02B214C0"/>
    <w:rsid w:val="02BD78AD"/>
    <w:rsid w:val="02CC25E3"/>
    <w:rsid w:val="02DD7EB5"/>
    <w:rsid w:val="02E62E98"/>
    <w:rsid w:val="0306073F"/>
    <w:rsid w:val="034B11BF"/>
    <w:rsid w:val="034C2FB5"/>
    <w:rsid w:val="03605DB0"/>
    <w:rsid w:val="03BD541F"/>
    <w:rsid w:val="03C54999"/>
    <w:rsid w:val="04021EA9"/>
    <w:rsid w:val="040C0819"/>
    <w:rsid w:val="04170C91"/>
    <w:rsid w:val="042C0EBC"/>
    <w:rsid w:val="043304EB"/>
    <w:rsid w:val="045F6B9B"/>
    <w:rsid w:val="046F2BE3"/>
    <w:rsid w:val="04973DB6"/>
    <w:rsid w:val="049824C8"/>
    <w:rsid w:val="04BE2226"/>
    <w:rsid w:val="04DE4DF1"/>
    <w:rsid w:val="04E069A6"/>
    <w:rsid w:val="05283624"/>
    <w:rsid w:val="053C7612"/>
    <w:rsid w:val="054C747D"/>
    <w:rsid w:val="056060BD"/>
    <w:rsid w:val="05685082"/>
    <w:rsid w:val="0593047E"/>
    <w:rsid w:val="05A0746B"/>
    <w:rsid w:val="05B1320D"/>
    <w:rsid w:val="05BE5B43"/>
    <w:rsid w:val="05C649F8"/>
    <w:rsid w:val="05C82C12"/>
    <w:rsid w:val="05C93220"/>
    <w:rsid w:val="05DD27EF"/>
    <w:rsid w:val="05E433F7"/>
    <w:rsid w:val="05EB7292"/>
    <w:rsid w:val="06677F89"/>
    <w:rsid w:val="06997DBD"/>
    <w:rsid w:val="069B1336"/>
    <w:rsid w:val="070C4371"/>
    <w:rsid w:val="070D3397"/>
    <w:rsid w:val="071A324D"/>
    <w:rsid w:val="071E3520"/>
    <w:rsid w:val="072B75B5"/>
    <w:rsid w:val="07317B7D"/>
    <w:rsid w:val="07480E14"/>
    <w:rsid w:val="075D455B"/>
    <w:rsid w:val="077A1F3E"/>
    <w:rsid w:val="079319AA"/>
    <w:rsid w:val="07B159E4"/>
    <w:rsid w:val="07E01A97"/>
    <w:rsid w:val="07E50A1B"/>
    <w:rsid w:val="084B0870"/>
    <w:rsid w:val="086C7AD9"/>
    <w:rsid w:val="08744F7A"/>
    <w:rsid w:val="08986E4D"/>
    <w:rsid w:val="08EB4EA1"/>
    <w:rsid w:val="08EF4F3D"/>
    <w:rsid w:val="08EF7AB4"/>
    <w:rsid w:val="090565BD"/>
    <w:rsid w:val="090B5543"/>
    <w:rsid w:val="094563D8"/>
    <w:rsid w:val="095C254C"/>
    <w:rsid w:val="09866978"/>
    <w:rsid w:val="09905A49"/>
    <w:rsid w:val="09C90142"/>
    <w:rsid w:val="09CD67D0"/>
    <w:rsid w:val="09E6624A"/>
    <w:rsid w:val="09EC18F3"/>
    <w:rsid w:val="0A595E3B"/>
    <w:rsid w:val="0AFB1D94"/>
    <w:rsid w:val="0B143648"/>
    <w:rsid w:val="0B2428ED"/>
    <w:rsid w:val="0B2823DD"/>
    <w:rsid w:val="0B403036"/>
    <w:rsid w:val="0B471607"/>
    <w:rsid w:val="0B5266C7"/>
    <w:rsid w:val="0B676BB3"/>
    <w:rsid w:val="0B8F3E2C"/>
    <w:rsid w:val="0BDE5F60"/>
    <w:rsid w:val="0BE43618"/>
    <w:rsid w:val="0BE46D3E"/>
    <w:rsid w:val="0BFF729B"/>
    <w:rsid w:val="0C130995"/>
    <w:rsid w:val="0C243883"/>
    <w:rsid w:val="0C4A6DC7"/>
    <w:rsid w:val="0C8A656B"/>
    <w:rsid w:val="0C923C39"/>
    <w:rsid w:val="0C9903CC"/>
    <w:rsid w:val="0C9A0A72"/>
    <w:rsid w:val="0CC90BB7"/>
    <w:rsid w:val="0CE949D7"/>
    <w:rsid w:val="0D480FE2"/>
    <w:rsid w:val="0DC9777B"/>
    <w:rsid w:val="0DCB01D4"/>
    <w:rsid w:val="0DD3572C"/>
    <w:rsid w:val="0E5C414B"/>
    <w:rsid w:val="0E754C08"/>
    <w:rsid w:val="0E7954D6"/>
    <w:rsid w:val="0E8B4F1C"/>
    <w:rsid w:val="0E8F2773"/>
    <w:rsid w:val="0E955AD9"/>
    <w:rsid w:val="0EC979CF"/>
    <w:rsid w:val="0EE43B77"/>
    <w:rsid w:val="0F4B5E65"/>
    <w:rsid w:val="0F67147D"/>
    <w:rsid w:val="0F942457"/>
    <w:rsid w:val="0FC40142"/>
    <w:rsid w:val="0FD578A8"/>
    <w:rsid w:val="0FDC047D"/>
    <w:rsid w:val="100F3B6B"/>
    <w:rsid w:val="10167DF5"/>
    <w:rsid w:val="1023092A"/>
    <w:rsid w:val="103449ED"/>
    <w:rsid w:val="10455D10"/>
    <w:rsid w:val="10674422"/>
    <w:rsid w:val="106B2E0F"/>
    <w:rsid w:val="108D5849"/>
    <w:rsid w:val="109B31E8"/>
    <w:rsid w:val="114C0C15"/>
    <w:rsid w:val="116F3C27"/>
    <w:rsid w:val="11767833"/>
    <w:rsid w:val="11797DB2"/>
    <w:rsid w:val="118539B9"/>
    <w:rsid w:val="11AA37BB"/>
    <w:rsid w:val="11FB639B"/>
    <w:rsid w:val="12416505"/>
    <w:rsid w:val="125D4D6A"/>
    <w:rsid w:val="128A2F92"/>
    <w:rsid w:val="13086AE4"/>
    <w:rsid w:val="130A0CE5"/>
    <w:rsid w:val="13290C80"/>
    <w:rsid w:val="13373288"/>
    <w:rsid w:val="13994B64"/>
    <w:rsid w:val="13AD711E"/>
    <w:rsid w:val="13E40CF1"/>
    <w:rsid w:val="13EC429E"/>
    <w:rsid w:val="13F60B9E"/>
    <w:rsid w:val="141A014E"/>
    <w:rsid w:val="144162BD"/>
    <w:rsid w:val="14583EE9"/>
    <w:rsid w:val="146A33AA"/>
    <w:rsid w:val="14763473"/>
    <w:rsid w:val="147E132C"/>
    <w:rsid w:val="149503B7"/>
    <w:rsid w:val="14C318B5"/>
    <w:rsid w:val="14DD7293"/>
    <w:rsid w:val="15112984"/>
    <w:rsid w:val="151F039D"/>
    <w:rsid w:val="153D0810"/>
    <w:rsid w:val="154F308C"/>
    <w:rsid w:val="15522690"/>
    <w:rsid w:val="157F1C41"/>
    <w:rsid w:val="15804BC3"/>
    <w:rsid w:val="15A03A00"/>
    <w:rsid w:val="15A30D4F"/>
    <w:rsid w:val="163043B4"/>
    <w:rsid w:val="163D5FEC"/>
    <w:rsid w:val="1643476E"/>
    <w:rsid w:val="1657510E"/>
    <w:rsid w:val="16626FAB"/>
    <w:rsid w:val="1688474B"/>
    <w:rsid w:val="168848B6"/>
    <w:rsid w:val="16BB69BF"/>
    <w:rsid w:val="17620757"/>
    <w:rsid w:val="17BE03BC"/>
    <w:rsid w:val="17D17958"/>
    <w:rsid w:val="17DB24C7"/>
    <w:rsid w:val="18100480"/>
    <w:rsid w:val="182B2CE3"/>
    <w:rsid w:val="182C1032"/>
    <w:rsid w:val="183E6A2B"/>
    <w:rsid w:val="187F3385"/>
    <w:rsid w:val="18B73D52"/>
    <w:rsid w:val="18E539E3"/>
    <w:rsid w:val="18EA738E"/>
    <w:rsid w:val="196152E9"/>
    <w:rsid w:val="19D61256"/>
    <w:rsid w:val="19FF0C2D"/>
    <w:rsid w:val="1A0147BB"/>
    <w:rsid w:val="1A051862"/>
    <w:rsid w:val="1A2F216B"/>
    <w:rsid w:val="1A3E4A58"/>
    <w:rsid w:val="1A461853"/>
    <w:rsid w:val="1AAB623F"/>
    <w:rsid w:val="1AC06833"/>
    <w:rsid w:val="1AC621B8"/>
    <w:rsid w:val="1B0B4F2F"/>
    <w:rsid w:val="1B1F4E7E"/>
    <w:rsid w:val="1B393407"/>
    <w:rsid w:val="1B4657C6"/>
    <w:rsid w:val="1B612DA1"/>
    <w:rsid w:val="1B6B3BA9"/>
    <w:rsid w:val="1B8A054A"/>
    <w:rsid w:val="1B9D3083"/>
    <w:rsid w:val="1BA40A59"/>
    <w:rsid w:val="1BC03A1B"/>
    <w:rsid w:val="1BD87507"/>
    <w:rsid w:val="1BE33C4E"/>
    <w:rsid w:val="1C077CF4"/>
    <w:rsid w:val="1C93342E"/>
    <w:rsid w:val="1CA27B15"/>
    <w:rsid w:val="1D116D3C"/>
    <w:rsid w:val="1D2B3667"/>
    <w:rsid w:val="1D637990"/>
    <w:rsid w:val="1DD75923"/>
    <w:rsid w:val="1DE434A0"/>
    <w:rsid w:val="1E0246AB"/>
    <w:rsid w:val="1E62130A"/>
    <w:rsid w:val="1ED77B23"/>
    <w:rsid w:val="1F1D626B"/>
    <w:rsid w:val="1F5F1CED"/>
    <w:rsid w:val="1F6D4553"/>
    <w:rsid w:val="1FA12306"/>
    <w:rsid w:val="1FA311D5"/>
    <w:rsid w:val="1FAA6C81"/>
    <w:rsid w:val="1FCB1131"/>
    <w:rsid w:val="1FE45CFE"/>
    <w:rsid w:val="2010788C"/>
    <w:rsid w:val="20196340"/>
    <w:rsid w:val="207C0686"/>
    <w:rsid w:val="20A069FF"/>
    <w:rsid w:val="20C4740E"/>
    <w:rsid w:val="20F15C4A"/>
    <w:rsid w:val="21090163"/>
    <w:rsid w:val="2181566E"/>
    <w:rsid w:val="21DF4B83"/>
    <w:rsid w:val="21E03C09"/>
    <w:rsid w:val="224321D8"/>
    <w:rsid w:val="22724F75"/>
    <w:rsid w:val="227B0BEC"/>
    <w:rsid w:val="22940096"/>
    <w:rsid w:val="229D5377"/>
    <w:rsid w:val="22A011AA"/>
    <w:rsid w:val="22CC782A"/>
    <w:rsid w:val="22CE51C0"/>
    <w:rsid w:val="22D24889"/>
    <w:rsid w:val="22F86AB7"/>
    <w:rsid w:val="23134BEE"/>
    <w:rsid w:val="23550FE6"/>
    <w:rsid w:val="23804B26"/>
    <w:rsid w:val="23CC4D16"/>
    <w:rsid w:val="23EF1892"/>
    <w:rsid w:val="244B100D"/>
    <w:rsid w:val="2457438C"/>
    <w:rsid w:val="24A93B72"/>
    <w:rsid w:val="24C745BD"/>
    <w:rsid w:val="24FB29C5"/>
    <w:rsid w:val="25053883"/>
    <w:rsid w:val="259A3A7F"/>
    <w:rsid w:val="25BD151C"/>
    <w:rsid w:val="25F3338F"/>
    <w:rsid w:val="26147EFE"/>
    <w:rsid w:val="2624159B"/>
    <w:rsid w:val="26333DF2"/>
    <w:rsid w:val="265C466E"/>
    <w:rsid w:val="26F11B3C"/>
    <w:rsid w:val="26F62F37"/>
    <w:rsid w:val="27024D85"/>
    <w:rsid w:val="27156F2D"/>
    <w:rsid w:val="2720336C"/>
    <w:rsid w:val="272A6A97"/>
    <w:rsid w:val="272F1FA5"/>
    <w:rsid w:val="272F7620"/>
    <w:rsid w:val="275F0ADD"/>
    <w:rsid w:val="277A373B"/>
    <w:rsid w:val="27CF148D"/>
    <w:rsid w:val="280671AA"/>
    <w:rsid w:val="28616AD6"/>
    <w:rsid w:val="28623F84"/>
    <w:rsid w:val="28A7603E"/>
    <w:rsid w:val="28CF48F2"/>
    <w:rsid w:val="28F2772E"/>
    <w:rsid w:val="28F65471"/>
    <w:rsid w:val="292D0766"/>
    <w:rsid w:val="293634D2"/>
    <w:rsid w:val="293F4BA2"/>
    <w:rsid w:val="295B3AA4"/>
    <w:rsid w:val="29631412"/>
    <w:rsid w:val="296A1541"/>
    <w:rsid w:val="29713284"/>
    <w:rsid w:val="29827A2E"/>
    <w:rsid w:val="29BF1F7A"/>
    <w:rsid w:val="29D871FD"/>
    <w:rsid w:val="29F34F55"/>
    <w:rsid w:val="29F931AF"/>
    <w:rsid w:val="2A031E1A"/>
    <w:rsid w:val="2A2D448C"/>
    <w:rsid w:val="2A526542"/>
    <w:rsid w:val="2A546654"/>
    <w:rsid w:val="2A97233B"/>
    <w:rsid w:val="2AD1623B"/>
    <w:rsid w:val="2ADE61BC"/>
    <w:rsid w:val="2B045858"/>
    <w:rsid w:val="2B090186"/>
    <w:rsid w:val="2B1A75CF"/>
    <w:rsid w:val="2B3949BC"/>
    <w:rsid w:val="2B78054E"/>
    <w:rsid w:val="2BED0D5A"/>
    <w:rsid w:val="2C006F5A"/>
    <w:rsid w:val="2C077CC9"/>
    <w:rsid w:val="2C4F1BCA"/>
    <w:rsid w:val="2D020B0C"/>
    <w:rsid w:val="2D4116D1"/>
    <w:rsid w:val="2D4F5EE6"/>
    <w:rsid w:val="2DAD0102"/>
    <w:rsid w:val="2DC55411"/>
    <w:rsid w:val="2DF400B8"/>
    <w:rsid w:val="2E0268CF"/>
    <w:rsid w:val="2E0D4426"/>
    <w:rsid w:val="2E312239"/>
    <w:rsid w:val="2E530C6F"/>
    <w:rsid w:val="2E61338C"/>
    <w:rsid w:val="2E676F7B"/>
    <w:rsid w:val="2E894691"/>
    <w:rsid w:val="2E8A3374"/>
    <w:rsid w:val="2EEB0C22"/>
    <w:rsid w:val="2EF835C5"/>
    <w:rsid w:val="2F1F76EC"/>
    <w:rsid w:val="2F3B4EA9"/>
    <w:rsid w:val="2F4002C0"/>
    <w:rsid w:val="2F407445"/>
    <w:rsid w:val="2F5861A1"/>
    <w:rsid w:val="2F6E35CB"/>
    <w:rsid w:val="2F96393A"/>
    <w:rsid w:val="2FD951A4"/>
    <w:rsid w:val="2FFD2C39"/>
    <w:rsid w:val="301B7881"/>
    <w:rsid w:val="302307C5"/>
    <w:rsid w:val="30341F93"/>
    <w:rsid w:val="303F28AB"/>
    <w:rsid w:val="308C225F"/>
    <w:rsid w:val="30BA0596"/>
    <w:rsid w:val="31441397"/>
    <w:rsid w:val="3146704B"/>
    <w:rsid w:val="314B0B72"/>
    <w:rsid w:val="318850D4"/>
    <w:rsid w:val="31BC18B1"/>
    <w:rsid w:val="31D419DE"/>
    <w:rsid w:val="32040C3C"/>
    <w:rsid w:val="320E382B"/>
    <w:rsid w:val="321A2B4A"/>
    <w:rsid w:val="324E3C27"/>
    <w:rsid w:val="32990965"/>
    <w:rsid w:val="32BF3B8D"/>
    <w:rsid w:val="32EF6021"/>
    <w:rsid w:val="32FC7776"/>
    <w:rsid w:val="3317670F"/>
    <w:rsid w:val="333A0650"/>
    <w:rsid w:val="3348538E"/>
    <w:rsid w:val="335039CF"/>
    <w:rsid w:val="33B47866"/>
    <w:rsid w:val="33BA3E89"/>
    <w:rsid w:val="33C64D45"/>
    <w:rsid w:val="341738EA"/>
    <w:rsid w:val="343C2545"/>
    <w:rsid w:val="347E4B75"/>
    <w:rsid w:val="34866527"/>
    <w:rsid w:val="348A2EDE"/>
    <w:rsid w:val="349C00DB"/>
    <w:rsid w:val="34E42621"/>
    <w:rsid w:val="34EC0797"/>
    <w:rsid w:val="350C7DCA"/>
    <w:rsid w:val="350F24FC"/>
    <w:rsid w:val="351D555E"/>
    <w:rsid w:val="352B64A2"/>
    <w:rsid w:val="356F4D53"/>
    <w:rsid w:val="35744785"/>
    <w:rsid w:val="358B1BF2"/>
    <w:rsid w:val="35915FF2"/>
    <w:rsid w:val="35A33875"/>
    <w:rsid w:val="361B4247"/>
    <w:rsid w:val="36251143"/>
    <w:rsid w:val="36A4475E"/>
    <w:rsid w:val="36AD2EE7"/>
    <w:rsid w:val="36B341A1"/>
    <w:rsid w:val="36C54F76"/>
    <w:rsid w:val="36C97B2C"/>
    <w:rsid w:val="36E93BA0"/>
    <w:rsid w:val="36F063F4"/>
    <w:rsid w:val="36F72179"/>
    <w:rsid w:val="37180CA8"/>
    <w:rsid w:val="37557ADE"/>
    <w:rsid w:val="375970C4"/>
    <w:rsid w:val="376E70A4"/>
    <w:rsid w:val="37D03331"/>
    <w:rsid w:val="37DD3911"/>
    <w:rsid w:val="381869BF"/>
    <w:rsid w:val="383A7680"/>
    <w:rsid w:val="383B019C"/>
    <w:rsid w:val="38871C41"/>
    <w:rsid w:val="38A64207"/>
    <w:rsid w:val="38D56FCE"/>
    <w:rsid w:val="39514782"/>
    <w:rsid w:val="397F1976"/>
    <w:rsid w:val="39846B63"/>
    <w:rsid w:val="398C7053"/>
    <w:rsid w:val="39B50CCC"/>
    <w:rsid w:val="3A49522D"/>
    <w:rsid w:val="3A5B050C"/>
    <w:rsid w:val="3AA5246D"/>
    <w:rsid w:val="3ACB1702"/>
    <w:rsid w:val="3B675D5A"/>
    <w:rsid w:val="3B8445CC"/>
    <w:rsid w:val="3BA94963"/>
    <w:rsid w:val="3BB30F9F"/>
    <w:rsid w:val="3BD243C9"/>
    <w:rsid w:val="3C656318"/>
    <w:rsid w:val="3C6B1A08"/>
    <w:rsid w:val="3C720E5A"/>
    <w:rsid w:val="3C82511E"/>
    <w:rsid w:val="3C9B616A"/>
    <w:rsid w:val="3C9C5ED7"/>
    <w:rsid w:val="3CA6778B"/>
    <w:rsid w:val="3CAE07E8"/>
    <w:rsid w:val="3D017422"/>
    <w:rsid w:val="3D34659E"/>
    <w:rsid w:val="3D7D6533"/>
    <w:rsid w:val="3E2302D0"/>
    <w:rsid w:val="3E8B46F3"/>
    <w:rsid w:val="3EA34445"/>
    <w:rsid w:val="3EC149FC"/>
    <w:rsid w:val="3F5037AB"/>
    <w:rsid w:val="3F822047"/>
    <w:rsid w:val="3F970A7C"/>
    <w:rsid w:val="3F9D458A"/>
    <w:rsid w:val="3FC01EDD"/>
    <w:rsid w:val="3FDF4E54"/>
    <w:rsid w:val="400777E7"/>
    <w:rsid w:val="401936AB"/>
    <w:rsid w:val="403A4EA4"/>
    <w:rsid w:val="404E74E8"/>
    <w:rsid w:val="405E2CDC"/>
    <w:rsid w:val="4088612B"/>
    <w:rsid w:val="40AF36DF"/>
    <w:rsid w:val="4101444F"/>
    <w:rsid w:val="4110479E"/>
    <w:rsid w:val="41656898"/>
    <w:rsid w:val="41670862"/>
    <w:rsid w:val="41720FB5"/>
    <w:rsid w:val="417D7C01"/>
    <w:rsid w:val="418603B2"/>
    <w:rsid w:val="418C1E4B"/>
    <w:rsid w:val="418C25D7"/>
    <w:rsid w:val="41D127C7"/>
    <w:rsid w:val="41D95251"/>
    <w:rsid w:val="41E66FE2"/>
    <w:rsid w:val="41FB71FC"/>
    <w:rsid w:val="421F4F1E"/>
    <w:rsid w:val="422C1AAB"/>
    <w:rsid w:val="424B6839"/>
    <w:rsid w:val="426559C8"/>
    <w:rsid w:val="42687DF7"/>
    <w:rsid w:val="426D0C8F"/>
    <w:rsid w:val="429C278D"/>
    <w:rsid w:val="42E10C3D"/>
    <w:rsid w:val="43483D4B"/>
    <w:rsid w:val="43A279F8"/>
    <w:rsid w:val="442A1127"/>
    <w:rsid w:val="443A7BE0"/>
    <w:rsid w:val="44441C7B"/>
    <w:rsid w:val="4453331F"/>
    <w:rsid w:val="446612A5"/>
    <w:rsid w:val="448121AB"/>
    <w:rsid w:val="44983CED"/>
    <w:rsid w:val="44AE49FA"/>
    <w:rsid w:val="44BD4C3D"/>
    <w:rsid w:val="44F20D8A"/>
    <w:rsid w:val="451E4393"/>
    <w:rsid w:val="455C26A8"/>
    <w:rsid w:val="459E681C"/>
    <w:rsid w:val="45B05FC0"/>
    <w:rsid w:val="45B12318"/>
    <w:rsid w:val="45CD7B83"/>
    <w:rsid w:val="45FF375F"/>
    <w:rsid w:val="46064E1B"/>
    <w:rsid w:val="46261F2B"/>
    <w:rsid w:val="467016B7"/>
    <w:rsid w:val="46796EE8"/>
    <w:rsid w:val="46845A12"/>
    <w:rsid w:val="46A17BE6"/>
    <w:rsid w:val="4703525F"/>
    <w:rsid w:val="471E5E67"/>
    <w:rsid w:val="47362979"/>
    <w:rsid w:val="47535FF2"/>
    <w:rsid w:val="4773076D"/>
    <w:rsid w:val="478B6848"/>
    <w:rsid w:val="47CC2854"/>
    <w:rsid w:val="47CD2311"/>
    <w:rsid w:val="47D97FDF"/>
    <w:rsid w:val="48141018"/>
    <w:rsid w:val="481B4154"/>
    <w:rsid w:val="48683357"/>
    <w:rsid w:val="48A51AA1"/>
    <w:rsid w:val="48AB74D8"/>
    <w:rsid w:val="48BA1BBF"/>
    <w:rsid w:val="48E147C2"/>
    <w:rsid w:val="48FA3381"/>
    <w:rsid w:val="4900334A"/>
    <w:rsid w:val="492B7453"/>
    <w:rsid w:val="49956C6E"/>
    <w:rsid w:val="49B3034F"/>
    <w:rsid w:val="4A07607B"/>
    <w:rsid w:val="4A1F7CEC"/>
    <w:rsid w:val="4A69389D"/>
    <w:rsid w:val="4A6E3D69"/>
    <w:rsid w:val="4B2F2866"/>
    <w:rsid w:val="4B3814C1"/>
    <w:rsid w:val="4B6B6BE9"/>
    <w:rsid w:val="4B6E210D"/>
    <w:rsid w:val="4B6E4206"/>
    <w:rsid w:val="4B7B0642"/>
    <w:rsid w:val="4B9B2D2E"/>
    <w:rsid w:val="4BA440EA"/>
    <w:rsid w:val="4BA77ED2"/>
    <w:rsid w:val="4BBF3D83"/>
    <w:rsid w:val="4BF13780"/>
    <w:rsid w:val="4BF91C37"/>
    <w:rsid w:val="4C0545FE"/>
    <w:rsid w:val="4C1D56EA"/>
    <w:rsid w:val="4C4243A5"/>
    <w:rsid w:val="4C4D4FC9"/>
    <w:rsid w:val="4C514CFA"/>
    <w:rsid w:val="4CAC7BE0"/>
    <w:rsid w:val="4CD67815"/>
    <w:rsid w:val="4CEC7012"/>
    <w:rsid w:val="4D250E2D"/>
    <w:rsid w:val="4D737D4C"/>
    <w:rsid w:val="4D9316F9"/>
    <w:rsid w:val="4DA74C66"/>
    <w:rsid w:val="4DAA7A22"/>
    <w:rsid w:val="4E1C05F2"/>
    <w:rsid w:val="4E1D32BD"/>
    <w:rsid w:val="4E320449"/>
    <w:rsid w:val="4EA6026D"/>
    <w:rsid w:val="4F211279"/>
    <w:rsid w:val="4F3F6565"/>
    <w:rsid w:val="4F812634"/>
    <w:rsid w:val="4FB57FB8"/>
    <w:rsid w:val="4FFC5D89"/>
    <w:rsid w:val="505C7A00"/>
    <w:rsid w:val="50A30510"/>
    <w:rsid w:val="50A7020D"/>
    <w:rsid w:val="50B542F8"/>
    <w:rsid w:val="50D2178B"/>
    <w:rsid w:val="510454E5"/>
    <w:rsid w:val="510A745C"/>
    <w:rsid w:val="5119144D"/>
    <w:rsid w:val="513543FF"/>
    <w:rsid w:val="51C964BD"/>
    <w:rsid w:val="51CA5A27"/>
    <w:rsid w:val="51E122F0"/>
    <w:rsid w:val="51E9259B"/>
    <w:rsid w:val="52350508"/>
    <w:rsid w:val="524271CE"/>
    <w:rsid w:val="52553923"/>
    <w:rsid w:val="5259092E"/>
    <w:rsid w:val="527B62CC"/>
    <w:rsid w:val="52CB1FD9"/>
    <w:rsid w:val="52DA30A5"/>
    <w:rsid w:val="53105509"/>
    <w:rsid w:val="53367B0B"/>
    <w:rsid w:val="53A511A5"/>
    <w:rsid w:val="53AC47FA"/>
    <w:rsid w:val="53D8739D"/>
    <w:rsid w:val="53F94455"/>
    <w:rsid w:val="540C63F7"/>
    <w:rsid w:val="546F1B1A"/>
    <w:rsid w:val="54800726"/>
    <w:rsid w:val="548922C8"/>
    <w:rsid w:val="54A47539"/>
    <w:rsid w:val="54C120D0"/>
    <w:rsid w:val="54C16083"/>
    <w:rsid w:val="54D36500"/>
    <w:rsid w:val="555D3FFE"/>
    <w:rsid w:val="558773A1"/>
    <w:rsid w:val="55AE5B85"/>
    <w:rsid w:val="55DE3DF1"/>
    <w:rsid w:val="55E9216D"/>
    <w:rsid w:val="56425245"/>
    <w:rsid w:val="564451BE"/>
    <w:rsid w:val="56850A34"/>
    <w:rsid w:val="569C5E63"/>
    <w:rsid w:val="5738746F"/>
    <w:rsid w:val="57522C4F"/>
    <w:rsid w:val="57615E74"/>
    <w:rsid w:val="5775442A"/>
    <w:rsid w:val="579E26AC"/>
    <w:rsid w:val="57BB73FE"/>
    <w:rsid w:val="57C978F8"/>
    <w:rsid w:val="57D32355"/>
    <w:rsid w:val="582812B4"/>
    <w:rsid w:val="58501C65"/>
    <w:rsid w:val="593D2BEE"/>
    <w:rsid w:val="59666F01"/>
    <w:rsid w:val="599F147F"/>
    <w:rsid w:val="59A37AEA"/>
    <w:rsid w:val="59A616F9"/>
    <w:rsid w:val="59BB25B5"/>
    <w:rsid w:val="59EA1A72"/>
    <w:rsid w:val="5A460C39"/>
    <w:rsid w:val="5A771F74"/>
    <w:rsid w:val="5AA4447D"/>
    <w:rsid w:val="5AA73B01"/>
    <w:rsid w:val="5AB311F0"/>
    <w:rsid w:val="5ABF67E2"/>
    <w:rsid w:val="5AD712F0"/>
    <w:rsid w:val="5B001C15"/>
    <w:rsid w:val="5B0C4AC7"/>
    <w:rsid w:val="5B200462"/>
    <w:rsid w:val="5B413F46"/>
    <w:rsid w:val="5B787F6D"/>
    <w:rsid w:val="5BD333A0"/>
    <w:rsid w:val="5BE73454"/>
    <w:rsid w:val="5BFE1F3E"/>
    <w:rsid w:val="5C217550"/>
    <w:rsid w:val="5C37599B"/>
    <w:rsid w:val="5C3A45C8"/>
    <w:rsid w:val="5C455FC2"/>
    <w:rsid w:val="5C7E6A77"/>
    <w:rsid w:val="5CB44396"/>
    <w:rsid w:val="5CBA54B4"/>
    <w:rsid w:val="5CFA4612"/>
    <w:rsid w:val="5D044CE6"/>
    <w:rsid w:val="5D1A3054"/>
    <w:rsid w:val="5D26184B"/>
    <w:rsid w:val="5D2673CB"/>
    <w:rsid w:val="5D2F3C9E"/>
    <w:rsid w:val="5D4041AE"/>
    <w:rsid w:val="5D4C0850"/>
    <w:rsid w:val="5D852E94"/>
    <w:rsid w:val="5D8D179E"/>
    <w:rsid w:val="5DA042E5"/>
    <w:rsid w:val="5DD05A0D"/>
    <w:rsid w:val="5DD71C7E"/>
    <w:rsid w:val="5E525F9E"/>
    <w:rsid w:val="5EC36B0C"/>
    <w:rsid w:val="5EF43E60"/>
    <w:rsid w:val="5F7E34EF"/>
    <w:rsid w:val="5F974FC6"/>
    <w:rsid w:val="5FB76A00"/>
    <w:rsid w:val="600D0914"/>
    <w:rsid w:val="607479F6"/>
    <w:rsid w:val="60834B2A"/>
    <w:rsid w:val="609A4F68"/>
    <w:rsid w:val="60A1216E"/>
    <w:rsid w:val="60A81950"/>
    <w:rsid w:val="60BA4E3F"/>
    <w:rsid w:val="60FD6695"/>
    <w:rsid w:val="61824FCA"/>
    <w:rsid w:val="61C71B07"/>
    <w:rsid w:val="61E64A77"/>
    <w:rsid w:val="6220088D"/>
    <w:rsid w:val="627F7995"/>
    <w:rsid w:val="62AD7DE5"/>
    <w:rsid w:val="62C20B06"/>
    <w:rsid w:val="62E4529A"/>
    <w:rsid w:val="62F7054C"/>
    <w:rsid w:val="63193A22"/>
    <w:rsid w:val="637F5EDA"/>
    <w:rsid w:val="63DC0DB7"/>
    <w:rsid w:val="63F27D49"/>
    <w:rsid w:val="64041BB3"/>
    <w:rsid w:val="64096729"/>
    <w:rsid w:val="643C4E7B"/>
    <w:rsid w:val="64436AB5"/>
    <w:rsid w:val="644E694D"/>
    <w:rsid w:val="64525B3B"/>
    <w:rsid w:val="645706A8"/>
    <w:rsid w:val="6467228E"/>
    <w:rsid w:val="646741CE"/>
    <w:rsid w:val="646860AE"/>
    <w:rsid w:val="64C94467"/>
    <w:rsid w:val="64DD0BA1"/>
    <w:rsid w:val="64E2758F"/>
    <w:rsid w:val="65201482"/>
    <w:rsid w:val="653813E6"/>
    <w:rsid w:val="65547EDC"/>
    <w:rsid w:val="656D7FA6"/>
    <w:rsid w:val="65816DD3"/>
    <w:rsid w:val="65896EBB"/>
    <w:rsid w:val="658C041A"/>
    <w:rsid w:val="65B5604F"/>
    <w:rsid w:val="65FB4E9D"/>
    <w:rsid w:val="660404C6"/>
    <w:rsid w:val="66174A0D"/>
    <w:rsid w:val="66291215"/>
    <w:rsid w:val="664A306D"/>
    <w:rsid w:val="664E1B97"/>
    <w:rsid w:val="664E7F0F"/>
    <w:rsid w:val="66A852F5"/>
    <w:rsid w:val="66D93700"/>
    <w:rsid w:val="67452B44"/>
    <w:rsid w:val="67740116"/>
    <w:rsid w:val="67AE3527"/>
    <w:rsid w:val="680B5D4B"/>
    <w:rsid w:val="68192278"/>
    <w:rsid w:val="681A2CC4"/>
    <w:rsid w:val="683010FE"/>
    <w:rsid w:val="68444511"/>
    <w:rsid w:val="689B2E24"/>
    <w:rsid w:val="68A5389A"/>
    <w:rsid w:val="68F02B60"/>
    <w:rsid w:val="68F73A83"/>
    <w:rsid w:val="68FE52A2"/>
    <w:rsid w:val="69004F74"/>
    <w:rsid w:val="69033394"/>
    <w:rsid w:val="691803C6"/>
    <w:rsid w:val="692F601B"/>
    <w:rsid w:val="693608CD"/>
    <w:rsid w:val="696756EE"/>
    <w:rsid w:val="69692B1A"/>
    <w:rsid w:val="69C11FEF"/>
    <w:rsid w:val="69C532B3"/>
    <w:rsid w:val="69E55542"/>
    <w:rsid w:val="6A331379"/>
    <w:rsid w:val="6A566A88"/>
    <w:rsid w:val="6A5F2B67"/>
    <w:rsid w:val="6A773014"/>
    <w:rsid w:val="6ACB7804"/>
    <w:rsid w:val="6AE663EC"/>
    <w:rsid w:val="6B16322E"/>
    <w:rsid w:val="6B747085"/>
    <w:rsid w:val="6BDC25A2"/>
    <w:rsid w:val="6BDE641E"/>
    <w:rsid w:val="6C0C5D82"/>
    <w:rsid w:val="6C1B3702"/>
    <w:rsid w:val="6C2F050B"/>
    <w:rsid w:val="6C3C4515"/>
    <w:rsid w:val="6C460131"/>
    <w:rsid w:val="6C6D2921"/>
    <w:rsid w:val="6C8B4D34"/>
    <w:rsid w:val="6C8D6287"/>
    <w:rsid w:val="6C991968"/>
    <w:rsid w:val="6CCE1F3F"/>
    <w:rsid w:val="6CF61EFF"/>
    <w:rsid w:val="6D26587C"/>
    <w:rsid w:val="6D2D0123"/>
    <w:rsid w:val="6D4821E7"/>
    <w:rsid w:val="6D521B8E"/>
    <w:rsid w:val="6D944067"/>
    <w:rsid w:val="6DCF225C"/>
    <w:rsid w:val="6DD369BE"/>
    <w:rsid w:val="6DD6339D"/>
    <w:rsid w:val="6E072901"/>
    <w:rsid w:val="6E1011A0"/>
    <w:rsid w:val="6E695FD5"/>
    <w:rsid w:val="6E775CD9"/>
    <w:rsid w:val="6EA713C0"/>
    <w:rsid w:val="6ECC76F0"/>
    <w:rsid w:val="6EE90351"/>
    <w:rsid w:val="6F025569"/>
    <w:rsid w:val="6F1469BF"/>
    <w:rsid w:val="6F19721F"/>
    <w:rsid w:val="6F255A0D"/>
    <w:rsid w:val="6F350A90"/>
    <w:rsid w:val="6F64100E"/>
    <w:rsid w:val="6F7C10CD"/>
    <w:rsid w:val="6F8552C8"/>
    <w:rsid w:val="6FC14D32"/>
    <w:rsid w:val="6FEC6252"/>
    <w:rsid w:val="6FF30A8A"/>
    <w:rsid w:val="6FF375E1"/>
    <w:rsid w:val="700037BA"/>
    <w:rsid w:val="70124427"/>
    <w:rsid w:val="701E1AB7"/>
    <w:rsid w:val="702C7F58"/>
    <w:rsid w:val="706202C3"/>
    <w:rsid w:val="707C423F"/>
    <w:rsid w:val="709268DE"/>
    <w:rsid w:val="70E1457E"/>
    <w:rsid w:val="70FD2572"/>
    <w:rsid w:val="710739AE"/>
    <w:rsid w:val="710C41E6"/>
    <w:rsid w:val="710E3B78"/>
    <w:rsid w:val="713C40EC"/>
    <w:rsid w:val="71695C1D"/>
    <w:rsid w:val="71C47FDF"/>
    <w:rsid w:val="71F0237B"/>
    <w:rsid w:val="72D66C3C"/>
    <w:rsid w:val="72F76B72"/>
    <w:rsid w:val="732C04A5"/>
    <w:rsid w:val="73FB4BB7"/>
    <w:rsid w:val="74297AE3"/>
    <w:rsid w:val="743B41D5"/>
    <w:rsid w:val="743E58EB"/>
    <w:rsid w:val="74416441"/>
    <w:rsid w:val="746431FC"/>
    <w:rsid w:val="7490502E"/>
    <w:rsid w:val="749B78B8"/>
    <w:rsid w:val="74A470FC"/>
    <w:rsid w:val="74BE3F91"/>
    <w:rsid w:val="74EF3DA7"/>
    <w:rsid w:val="75022B4B"/>
    <w:rsid w:val="75124DA1"/>
    <w:rsid w:val="75656A62"/>
    <w:rsid w:val="75656DE5"/>
    <w:rsid w:val="75696028"/>
    <w:rsid w:val="758F1B5A"/>
    <w:rsid w:val="75941E05"/>
    <w:rsid w:val="75A4749B"/>
    <w:rsid w:val="75B82733"/>
    <w:rsid w:val="75BC19B7"/>
    <w:rsid w:val="75CA2B92"/>
    <w:rsid w:val="75D20653"/>
    <w:rsid w:val="75E874BC"/>
    <w:rsid w:val="76740344"/>
    <w:rsid w:val="769657EE"/>
    <w:rsid w:val="769F1E47"/>
    <w:rsid w:val="76C3511F"/>
    <w:rsid w:val="76C55835"/>
    <w:rsid w:val="76E2215D"/>
    <w:rsid w:val="770F2F53"/>
    <w:rsid w:val="77471FC0"/>
    <w:rsid w:val="775546DD"/>
    <w:rsid w:val="77E4172A"/>
    <w:rsid w:val="780E3C6E"/>
    <w:rsid w:val="784A7401"/>
    <w:rsid w:val="786F17CF"/>
    <w:rsid w:val="787E7FE4"/>
    <w:rsid w:val="788B20F9"/>
    <w:rsid w:val="789B2B1C"/>
    <w:rsid w:val="78A36B18"/>
    <w:rsid w:val="78AD6395"/>
    <w:rsid w:val="78B763C8"/>
    <w:rsid w:val="78D37FAF"/>
    <w:rsid w:val="78DA6689"/>
    <w:rsid w:val="790A75A8"/>
    <w:rsid w:val="790D3AAE"/>
    <w:rsid w:val="79167E9C"/>
    <w:rsid w:val="79246A5D"/>
    <w:rsid w:val="794D6E35"/>
    <w:rsid w:val="7966249B"/>
    <w:rsid w:val="797133A6"/>
    <w:rsid w:val="79852533"/>
    <w:rsid w:val="79986848"/>
    <w:rsid w:val="79D34CF9"/>
    <w:rsid w:val="7A8D3BF3"/>
    <w:rsid w:val="7A9E396F"/>
    <w:rsid w:val="7AC35E02"/>
    <w:rsid w:val="7AC70D3D"/>
    <w:rsid w:val="7AF91AC4"/>
    <w:rsid w:val="7B1E2FF3"/>
    <w:rsid w:val="7B2858C0"/>
    <w:rsid w:val="7B411EEB"/>
    <w:rsid w:val="7B4B1457"/>
    <w:rsid w:val="7BBA5B49"/>
    <w:rsid w:val="7BBA7EA7"/>
    <w:rsid w:val="7BD048F2"/>
    <w:rsid w:val="7C030195"/>
    <w:rsid w:val="7C2D5D0F"/>
    <w:rsid w:val="7C4D018D"/>
    <w:rsid w:val="7C5776CA"/>
    <w:rsid w:val="7CBB4DB2"/>
    <w:rsid w:val="7CBB7E6A"/>
    <w:rsid w:val="7CEB2B83"/>
    <w:rsid w:val="7D133243"/>
    <w:rsid w:val="7D1C745C"/>
    <w:rsid w:val="7D216B0E"/>
    <w:rsid w:val="7D490E67"/>
    <w:rsid w:val="7D741341"/>
    <w:rsid w:val="7D787820"/>
    <w:rsid w:val="7DB33B66"/>
    <w:rsid w:val="7DBA7990"/>
    <w:rsid w:val="7DBB30A2"/>
    <w:rsid w:val="7DFD2EFA"/>
    <w:rsid w:val="7E410432"/>
    <w:rsid w:val="7E49619A"/>
    <w:rsid w:val="7EE86D8E"/>
    <w:rsid w:val="7F15736F"/>
    <w:rsid w:val="7F481F36"/>
    <w:rsid w:val="7FCF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仿宋" w:cstheme="minorBidi"/>
      <w:kern w:val="2"/>
      <w:sz w:val="28"/>
      <w:szCs w:val="22"/>
      <w:lang w:val="en-US" w:eastAsia="zh-CN" w:bidi="ar-SA"/>
    </w:rPr>
  </w:style>
  <w:style w:type="paragraph" w:styleId="3">
    <w:name w:val="heading 1"/>
    <w:basedOn w:val="1"/>
    <w:next w:val="1"/>
    <w:link w:val="31"/>
    <w:autoRedefine/>
    <w:qFormat/>
    <w:uiPriority w:val="9"/>
    <w:pPr>
      <w:keepNext/>
      <w:keepLines/>
      <w:numPr>
        <w:ilvl w:val="0"/>
        <w:numId w:val="1"/>
      </w:numPr>
      <w:spacing w:before="240" w:after="240"/>
      <w:jc w:val="center"/>
      <w:outlineLvl w:val="0"/>
    </w:pPr>
    <w:rPr>
      <w:rFonts w:eastAsia="方正小标宋简体"/>
      <w:b/>
      <w:bCs/>
      <w:kern w:val="44"/>
      <w:sz w:val="36"/>
      <w:szCs w:val="44"/>
    </w:rPr>
  </w:style>
  <w:style w:type="paragraph" w:styleId="4">
    <w:name w:val="heading 2"/>
    <w:basedOn w:val="1"/>
    <w:next w:val="1"/>
    <w:link w:val="32"/>
    <w:autoRedefine/>
    <w:unhideWhenUsed/>
    <w:qFormat/>
    <w:uiPriority w:val="9"/>
    <w:pPr>
      <w:keepNext/>
      <w:keepLines/>
      <w:numPr>
        <w:ilvl w:val="1"/>
        <w:numId w:val="1"/>
      </w:numPr>
      <w:spacing w:before="156" w:beforeLines="50" w:after="156" w:afterLines="50"/>
      <w:jc w:val="center"/>
      <w:outlineLvl w:val="1"/>
    </w:pPr>
    <w:rPr>
      <w:rFonts w:ascii="Times" w:hAnsi="Times" w:eastAsia="方正小标宋简体" w:cstheme="majorBidi"/>
      <w:b/>
      <w:bCs/>
      <w:sz w:val="32"/>
      <w:szCs w:val="32"/>
    </w:rPr>
  </w:style>
  <w:style w:type="paragraph" w:styleId="5">
    <w:name w:val="heading 3"/>
    <w:basedOn w:val="1"/>
    <w:next w:val="1"/>
    <w:link w:val="33"/>
    <w:autoRedefine/>
    <w:unhideWhenUsed/>
    <w:qFormat/>
    <w:uiPriority w:val="9"/>
    <w:pPr>
      <w:keepNext/>
      <w:keepLines/>
      <w:numPr>
        <w:ilvl w:val="2"/>
        <w:numId w:val="1"/>
      </w:numPr>
      <w:snapToGrid w:val="0"/>
      <w:spacing w:before="240" w:after="240"/>
      <w:outlineLvl w:val="2"/>
    </w:pPr>
    <w:rPr>
      <w:rFonts w:eastAsia="黑体"/>
      <w:b/>
      <w:bCs/>
      <w:sz w:val="32"/>
      <w:szCs w:val="32"/>
    </w:rPr>
  </w:style>
  <w:style w:type="paragraph" w:styleId="6">
    <w:name w:val="heading 4"/>
    <w:basedOn w:val="1"/>
    <w:next w:val="1"/>
    <w:link w:val="35"/>
    <w:autoRedefine/>
    <w:unhideWhenUsed/>
    <w:qFormat/>
    <w:uiPriority w:val="9"/>
    <w:pPr>
      <w:keepNext/>
      <w:keepLines/>
      <w:numPr>
        <w:ilvl w:val="3"/>
        <w:numId w:val="1"/>
      </w:numPr>
      <w:spacing w:before="50" w:beforeLines="50" w:after="50" w:afterLines="50"/>
      <w:outlineLvl w:val="3"/>
    </w:pPr>
    <w:rPr>
      <w:rFonts w:ascii="Times" w:hAnsi="Times" w:eastAsia="楷体" w:cstheme="minorHAnsi"/>
      <w:b/>
      <w:bCs/>
      <w:szCs w:val="28"/>
    </w:rPr>
  </w:style>
  <w:style w:type="paragraph" w:styleId="7">
    <w:name w:val="heading 5"/>
    <w:basedOn w:val="1"/>
    <w:next w:val="1"/>
    <w:link w:val="36"/>
    <w:autoRedefine/>
    <w:unhideWhenUsed/>
    <w:qFormat/>
    <w:uiPriority w:val="9"/>
    <w:pPr>
      <w:keepNext/>
      <w:keepLines/>
      <w:numPr>
        <w:ilvl w:val="4"/>
        <w:numId w:val="1"/>
      </w:numPr>
      <w:adjustRightInd w:val="0"/>
      <w:ind w:left="0" w:firstLine="200" w:firstLineChars="200"/>
      <w:outlineLvl w:val="4"/>
    </w:pPr>
    <w:rPr>
      <w:rFonts w:ascii="Times" w:hAnsi="Times" w:cstheme="minorHAnsi"/>
      <w:b/>
      <w:bCs/>
      <w:szCs w:val="28"/>
    </w:rPr>
  </w:style>
  <w:style w:type="paragraph" w:styleId="8">
    <w:name w:val="heading 6"/>
    <w:basedOn w:val="1"/>
    <w:next w:val="1"/>
    <w:link w:val="37"/>
    <w:autoRedefine/>
    <w:unhideWhenUsed/>
    <w:qFormat/>
    <w:uiPriority w:val="9"/>
    <w:pPr>
      <w:numPr>
        <w:ilvl w:val="5"/>
        <w:numId w:val="1"/>
      </w:numPr>
      <w:ind w:left="0" w:firstLine="562" w:firstLineChars="200"/>
      <w:outlineLvl w:val="5"/>
    </w:pPr>
    <w:rPr>
      <w:rFonts w:ascii="Times" w:hAnsi="Times" w:cstheme="minorHAnsi"/>
      <w:b/>
      <w:bCs/>
      <w:szCs w:val="24"/>
    </w:rPr>
  </w:style>
  <w:style w:type="paragraph" w:styleId="9">
    <w:name w:val="heading 7"/>
    <w:basedOn w:val="1"/>
    <w:next w:val="1"/>
    <w:link w:val="44"/>
    <w:autoRedefine/>
    <w:unhideWhenUsed/>
    <w:qFormat/>
    <w:uiPriority w:val="9"/>
    <w:pPr>
      <w:keepNext/>
      <w:keepLines/>
      <w:numPr>
        <w:ilvl w:val="6"/>
        <w:numId w:val="1"/>
      </w:numPr>
      <w:ind w:left="0" w:firstLine="723" w:firstLineChars="200"/>
      <w:outlineLvl w:val="6"/>
    </w:pPr>
    <w:rPr>
      <w:bCs/>
      <w:szCs w:val="24"/>
    </w:rPr>
  </w:style>
  <w:style w:type="paragraph" w:styleId="10">
    <w:name w:val="heading 8"/>
    <w:basedOn w:val="1"/>
    <w:next w:val="1"/>
    <w:link w:val="45"/>
    <w:autoRedefine/>
    <w:unhideWhenUsed/>
    <w:qFormat/>
    <w:uiPriority w:val="9"/>
    <w:pPr>
      <w:keepNext/>
      <w:keepLines/>
      <w:numPr>
        <w:ilvl w:val="7"/>
        <w:numId w:val="1"/>
      </w:numPr>
      <w:outlineLvl w:val="7"/>
    </w:pPr>
    <w:rPr>
      <w:rFonts w:ascii="仿宋" w:hAnsi="仿宋" w:cstheme="majorBidi"/>
      <w:sz w:val="24"/>
      <w:szCs w:val="24"/>
    </w:rPr>
  </w:style>
  <w:style w:type="paragraph" w:styleId="11">
    <w:name w:val="heading 9"/>
    <w:basedOn w:val="1"/>
    <w:next w:val="1"/>
    <w:link w:val="46"/>
    <w:autoRedefine/>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2"/>
    <w:basedOn w:val="1"/>
    <w:next w:val="1"/>
    <w:autoRedefine/>
    <w:unhideWhenUsed/>
    <w:qFormat/>
    <w:uiPriority w:val="39"/>
    <w:pPr>
      <w:spacing w:line="440" w:lineRule="exact"/>
    </w:pPr>
    <w:rPr>
      <w:rFonts w:eastAsia="黑体"/>
      <w:sz w:val="24"/>
    </w:rPr>
  </w:style>
  <w:style w:type="paragraph" w:styleId="12">
    <w:name w:val="Normal Indent"/>
    <w:basedOn w:val="1"/>
    <w:qFormat/>
    <w:uiPriority w:val="0"/>
    <w:pPr>
      <w:ind w:firstLine="567"/>
    </w:pPr>
    <w:rPr>
      <w:sz w:val="24"/>
    </w:rPr>
  </w:style>
  <w:style w:type="paragraph" w:styleId="13">
    <w:name w:val="caption"/>
    <w:basedOn w:val="1"/>
    <w:next w:val="1"/>
    <w:autoRedefine/>
    <w:unhideWhenUsed/>
    <w:qFormat/>
    <w:uiPriority w:val="35"/>
    <w:rPr>
      <w:rFonts w:eastAsia="黑体" w:asciiTheme="majorHAnsi" w:hAnsiTheme="majorHAnsi" w:cstheme="majorBidi"/>
      <w:sz w:val="20"/>
      <w:szCs w:val="20"/>
    </w:rPr>
  </w:style>
  <w:style w:type="paragraph" w:styleId="14">
    <w:name w:val="annotation text"/>
    <w:basedOn w:val="1"/>
    <w:link w:val="65"/>
    <w:autoRedefine/>
    <w:semiHidden/>
    <w:unhideWhenUsed/>
    <w:qFormat/>
    <w:uiPriority w:val="99"/>
    <w:pPr>
      <w:jc w:val="left"/>
    </w:pPr>
  </w:style>
  <w:style w:type="paragraph" w:styleId="15">
    <w:name w:val="Body Text"/>
    <w:basedOn w:val="1"/>
    <w:semiHidden/>
    <w:qFormat/>
    <w:uiPriority w:val="0"/>
    <w:rPr>
      <w:rFonts w:ascii="Arial" w:hAnsi="Arial" w:eastAsia="Arial" w:cs="Arial"/>
      <w:sz w:val="21"/>
      <w:szCs w:val="21"/>
      <w:lang w:eastAsia="en-US"/>
    </w:rPr>
  </w:style>
  <w:style w:type="paragraph" w:styleId="16">
    <w:name w:val="toc 5"/>
    <w:basedOn w:val="1"/>
    <w:next w:val="1"/>
    <w:autoRedefine/>
    <w:unhideWhenUsed/>
    <w:qFormat/>
    <w:uiPriority w:val="39"/>
    <w:pPr>
      <w:spacing w:line="440" w:lineRule="exact"/>
      <w:ind w:left="400" w:leftChars="400"/>
    </w:pPr>
    <w:rPr>
      <w:sz w:val="24"/>
    </w:rPr>
  </w:style>
  <w:style w:type="paragraph" w:styleId="17">
    <w:name w:val="toc 3"/>
    <w:basedOn w:val="1"/>
    <w:next w:val="1"/>
    <w:autoRedefine/>
    <w:unhideWhenUsed/>
    <w:qFormat/>
    <w:uiPriority w:val="39"/>
    <w:pPr>
      <w:spacing w:line="440" w:lineRule="exact"/>
      <w:ind w:left="200" w:leftChars="200"/>
    </w:pPr>
    <w:rPr>
      <w:rFonts w:eastAsia="黑体"/>
      <w:sz w:val="24"/>
    </w:rPr>
  </w:style>
  <w:style w:type="paragraph" w:styleId="18">
    <w:name w:val="footer"/>
    <w:basedOn w:val="1"/>
    <w:link w:val="42"/>
    <w:autoRedefine/>
    <w:unhideWhenUsed/>
    <w:qFormat/>
    <w:uiPriority w:val="99"/>
    <w:pPr>
      <w:tabs>
        <w:tab w:val="center" w:pos="4153"/>
        <w:tab w:val="right" w:pos="8306"/>
      </w:tabs>
      <w:snapToGrid w:val="0"/>
      <w:jc w:val="left"/>
    </w:pPr>
    <w:rPr>
      <w:sz w:val="18"/>
      <w:szCs w:val="18"/>
    </w:rPr>
  </w:style>
  <w:style w:type="paragraph" w:styleId="19">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tabs>
        <w:tab w:val="right" w:leader="dot" w:pos="8296"/>
      </w:tabs>
      <w:spacing w:line="440" w:lineRule="exact"/>
    </w:pPr>
    <w:rPr>
      <w:rFonts w:eastAsia="黑体"/>
      <w:sz w:val="24"/>
    </w:rPr>
  </w:style>
  <w:style w:type="paragraph" w:styleId="21">
    <w:name w:val="toc 4"/>
    <w:basedOn w:val="1"/>
    <w:next w:val="1"/>
    <w:autoRedefine/>
    <w:unhideWhenUsed/>
    <w:qFormat/>
    <w:uiPriority w:val="39"/>
    <w:pPr>
      <w:tabs>
        <w:tab w:val="right" w:leader="dot" w:pos="8296"/>
      </w:tabs>
      <w:spacing w:line="440" w:lineRule="exact"/>
      <w:ind w:left="200" w:leftChars="200"/>
    </w:pPr>
    <w:rPr>
      <w:sz w:val="24"/>
    </w:rPr>
  </w:style>
  <w:style w:type="paragraph" w:styleId="22">
    <w:name w:val="table of figures"/>
    <w:basedOn w:val="1"/>
    <w:next w:val="1"/>
    <w:autoRedefine/>
    <w:unhideWhenUsed/>
    <w:qFormat/>
    <w:uiPriority w:val="99"/>
    <w:pPr>
      <w:spacing w:before="50" w:beforeLines="50" w:after="50" w:afterLines="50"/>
    </w:pPr>
    <w:rPr>
      <w:rFonts w:eastAsia="黑体"/>
      <w:sz w:val="24"/>
    </w:rPr>
  </w:style>
  <w:style w:type="paragraph" w:styleId="23">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14"/>
    <w:next w:val="14"/>
    <w:link w:val="66"/>
    <w:autoRedefine/>
    <w:semiHidden/>
    <w:unhideWhenUsed/>
    <w:qFormat/>
    <w:uiPriority w:val="99"/>
    <w:rPr>
      <w:b/>
      <w:bCs/>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Hyperlink"/>
    <w:basedOn w:val="27"/>
    <w:autoRedefine/>
    <w:unhideWhenUsed/>
    <w:qFormat/>
    <w:uiPriority w:val="99"/>
    <w:rPr>
      <w:color w:val="0563C1" w:themeColor="hyperlink"/>
      <w:u w:val="single"/>
      <w14:textFill>
        <w14:solidFill>
          <w14:schemeClr w14:val="hlink"/>
        </w14:solidFill>
      </w14:textFill>
    </w:rPr>
  </w:style>
  <w:style w:type="character" w:styleId="30">
    <w:name w:val="annotation reference"/>
    <w:autoRedefine/>
    <w:unhideWhenUsed/>
    <w:qFormat/>
    <w:uiPriority w:val="99"/>
    <w:rPr>
      <w:sz w:val="21"/>
      <w:szCs w:val="21"/>
    </w:rPr>
  </w:style>
  <w:style w:type="character" w:customStyle="1" w:styleId="31">
    <w:name w:val="标题 1 字符"/>
    <w:basedOn w:val="27"/>
    <w:link w:val="3"/>
    <w:autoRedefine/>
    <w:qFormat/>
    <w:uiPriority w:val="9"/>
    <w:rPr>
      <w:rFonts w:ascii="Times New Roman" w:hAnsi="Times New Roman" w:eastAsia="方正小标宋简体"/>
      <w:b/>
      <w:bCs/>
      <w:kern w:val="44"/>
      <w:sz w:val="36"/>
      <w:szCs w:val="44"/>
    </w:rPr>
  </w:style>
  <w:style w:type="character" w:customStyle="1" w:styleId="32">
    <w:name w:val="标题 2 字符"/>
    <w:basedOn w:val="27"/>
    <w:link w:val="4"/>
    <w:autoRedefine/>
    <w:qFormat/>
    <w:uiPriority w:val="9"/>
    <w:rPr>
      <w:rFonts w:ascii="Times" w:hAnsi="Times" w:eastAsia="方正小标宋简体" w:cstheme="majorBidi"/>
      <w:b/>
      <w:bCs/>
      <w:sz w:val="32"/>
      <w:szCs w:val="32"/>
    </w:rPr>
  </w:style>
  <w:style w:type="character" w:customStyle="1" w:styleId="33">
    <w:name w:val="标题 3 字符"/>
    <w:basedOn w:val="27"/>
    <w:link w:val="5"/>
    <w:autoRedefine/>
    <w:qFormat/>
    <w:uiPriority w:val="9"/>
    <w:rPr>
      <w:rFonts w:ascii="Times New Roman" w:hAnsi="Times New Roman" w:eastAsia="黑体"/>
      <w:b/>
      <w:bCs/>
      <w:sz w:val="32"/>
      <w:szCs w:val="32"/>
    </w:rPr>
  </w:style>
  <w:style w:type="paragraph" w:customStyle="1" w:styleId="34">
    <w:name w:val="文件正文"/>
    <w:basedOn w:val="1"/>
    <w:autoRedefine/>
    <w:qFormat/>
    <w:uiPriority w:val="0"/>
    <w:pPr>
      <w:ind w:firstLine="200" w:firstLineChars="200"/>
    </w:pPr>
    <w:rPr>
      <w:rFonts w:ascii="Times" w:hAnsi="Times" w:cstheme="minorHAnsi"/>
    </w:rPr>
  </w:style>
  <w:style w:type="character" w:customStyle="1" w:styleId="35">
    <w:name w:val="标题 4 字符"/>
    <w:basedOn w:val="27"/>
    <w:link w:val="6"/>
    <w:autoRedefine/>
    <w:qFormat/>
    <w:uiPriority w:val="9"/>
    <w:rPr>
      <w:rFonts w:ascii="Times" w:hAnsi="Times" w:eastAsia="楷体" w:cstheme="minorHAnsi"/>
      <w:b/>
      <w:bCs/>
      <w:sz w:val="28"/>
      <w:szCs w:val="28"/>
    </w:rPr>
  </w:style>
  <w:style w:type="character" w:customStyle="1" w:styleId="36">
    <w:name w:val="标题 5 字符"/>
    <w:basedOn w:val="27"/>
    <w:link w:val="7"/>
    <w:autoRedefine/>
    <w:qFormat/>
    <w:uiPriority w:val="9"/>
    <w:rPr>
      <w:rFonts w:ascii="Times" w:hAnsi="Times" w:eastAsia="仿宋" w:cstheme="minorHAnsi"/>
      <w:b/>
      <w:bCs/>
      <w:sz w:val="28"/>
      <w:szCs w:val="28"/>
    </w:rPr>
  </w:style>
  <w:style w:type="character" w:customStyle="1" w:styleId="37">
    <w:name w:val="标题 6 字符"/>
    <w:basedOn w:val="27"/>
    <w:link w:val="8"/>
    <w:autoRedefine/>
    <w:qFormat/>
    <w:uiPriority w:val="9"/>
    <w:rPr>
      <w:rFonts w:ascii="Times" w:hAnsi="Times" w:eastAsia="仿宋" w:cstheme="minorHAnsi"/>
      <w:b/>
      <w:bCs/>
      <w:sz w:val="28"/>
      <w:szCs w:val="24"/>
    </w:rPr>
  </w:style>
  <w:style w:type="paragraph" w:customStyle="1" w:styleId="38">
    <w:name w:val="图"/>
    <w:basedOn w:val="1"/>
    <w:autoRedefine/>
    <w:qFormat/>
    <w:uiPriority w:val="0"/>
    <w:pPr>
      <w:spacing w:before="156" w:beforeLines="50" w:after="312" w:afterLines="100"/>
      <w:ind w:left="420"/>
      <w:jc w:val="center"/>
    </w:pPr>
    <w:rPr>
      <w:rFonts w:eastAsia="黑体"/>
      <w:b/>
      <w:sz w:val="24"/>
    </w:rPr>
  </w:style>
  <w:style w:type="paragraph" w:styleId="39">
    <w:name w:val="No Spacing"/>
    <w:link w:val="40"/>
    <w:autoRedefine/>
    <w:qFormat/>
    <w:uiPriority w:val="1"/>
    <w:rPr>
      <w:rFonts w:asciiTheme="minorHAnsi" w:hAnsiTheme="minorHAnsi" w:eastAsiaTheme="minorEastAsia" w:cstheme="minorBidi"/>
      <w:sz w:val="22"/>
      <w:szCs w:val="22"/>
      <w:lang w:val="en-US" w:eastAsia="zh-CN" w:bidi="ar-SA"/>
    </w:rPr>
  </w:style>
  <w:style w:type="character" w:customStyle="1" w:styleId="40">
    <w:name w:val="无间隔 字符"/>
    <w:basedOn w:val="27"/>
    <w:link w:val="39"/>
    <w:autoRedefine/>
    <w:qFormat/>
    <w:uiPriority w:val="1"/>
    <w:rPr>
      <w:kern w:val="0"/>
      <w:sz w:val="22"/>
    </w:rPr>
  </w:style>
  <w:style w:type="character" w:customStyle="1" w:styleId="41">
    <w:name w:val="页眉 字符"/>
    <w:basedOn w:val="27"/>
    <w:link w:val="19"/>
    <w:autoRedefine/>
    <w:qFormat/>
    <w:uiPriority w:val="99"/>
    <w:rPr>
      <w:rFonts w:ascii="Times New Roman" w:hAnsi="Times New Roman" w:eastAsia="仿宋"/>
      <w:sz w:val="18"/>
      <w:szCs w:val="18"/>
    </w:rPr>
  </w:style>
  <w:style w:type="character" w:customStyle="1" w:styleId="42">
    <w:name w:val="页脚 字符"/>
    <w:basedOn w:val="27"/>
    <w:link w:val="18"/>
    <w:autoRedefine/>
    <w:qFormat/>
    <w:uiPriority w:val="99"/>
    <w:rPr>
      <w:rFonts w:ascii="Times New Roman" w:hAnsi="Times New Roman" w:eastAsia="仿宋"/>
      <w:sz w:val="18"/>
      <w:szCs w:val="18"/>
    </w:rPr>
  </w:style>
  <w:style w:type="paragraph" w:styleId="43">
    <w:name w:val="List Paragraph"/>
    <w:basedOn w:val="1"/>
    <w:autoRedefine/>
    <w:qFormat/>
    <w:uiPriority w:val="34"/>
    <w:pPr>
      <w:ind w:firstLine="420" w:firstLineChars="200"/>
    </w:pPr>
  </w:style>
  <w:style w:type="character" w:customStyle="1" w:styleId="44">
    <w:name w:val="标题 7 字符"/>
    <w:basedOn w:val="27"/>
    <w:link w:val="9"/>
    <w:autoRedefine/>
    <w:qFormat/>
    <w:uiPriority w:val="9"/>
    <w:rPr>
      <w:rFonts w:ascii="Times New Roman" w:hAnsi="Times New Roman" w:eastAsia="仿宋"/>
      <w:bCs/>
      <w:sz w:val="28"/>
      <w:szCs w:val="24"/>
    </w:rPr>
  </w:style>
  <w:style w:type="character" w:customStyle="1" w:styleId="45">
    <w:name w:val="标题 8 字符"/>
    <w:basedOn w:val="27"/>
    <w:link w:val="10"/>
    <w:autoRedefine/>
    <w:qFormat/>
    <w:uiPriority w:val="9"/>
    <w:rPr>
      <w:rFonts w:ascii="仿宋" w:hAnsi="仿宋" w:eastAsia="仿宋" w:cstheme="majorBidi"/>
      <w:sz w:val="24"/>
      <w:szCs w:val="24"/>
    </w:rPr>
  </w:style>
  <w:style w:type="character" w:customStyle="1" w:styleId="46">
    <w:name w:val="标题 9 字符"/>
    <w:basedOn w:val="27"/>
    <w:link w:val="11"/>
    <w:autoRedefine/>
    <w:qFormat/>
    <w:uiPriority w:val="9"/>
    <w:rPr>
      <w:rFonts w:asciiTheme="majorHAnsi" w:hAnsiTheme="majorHAnsi" w:eastAsiaTheme="majorEastAsia" w:cstheme="majorBidi"/>
      <w:szCs w:val="21"/>
    </w:rPr>
  </w:style>
  <w:style w:type="paragraph" w:customStyle="1" w:styleId="47">
    <w:name w:val="摘要&amp;目录"/>
    <w:basedOn w:val="3"/>
    <w:autoRedefine/>
    <w:qFormat/>
    <w:uiPriority w:val="0"/>
    <w:pPr>
      <w:numPr>
        <w:numId w:val="0"/>
      </w:numPr>
      <w:outlineLvl w:val="9"/>
    </w:pPr>
  </w:style>
  <w:style w:type="paragraph" w:customStyle="1" w:styleId="48">
    <w:name w:val="TOC 标题1"/>
    <w:basedOn w:val="3"/>
    <w:next w:val="1"/>
    <w:autoRedefine/>
    <w:unhideWhenUsed/>
    <w:qFormat/>
    <w:uiPriority w:val="39"/>
    <w:pPr>
      <w:widowControl/>
      <w:numPr>
        <w:numId w:val="0"/>
      </w:numPr>
      <w:spacing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49">
    <w:name w:val="网格型1"/>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表"/>
    <w:basedOn w:val="1"/>
    <w:autoRedefine/>
    <w:qFormat/>
    <w:uiPriority w:val="0"/>
    <w:pPr>
      <w:spacing w:before="312" w:beforeLines="100" w:after="156" w:afterLines="50"/>
      <w:jc w:val="center"/>
    </w:pPr>
    <w:rPr>
      <w:rFonts w:eastAsia="黑体"/>
      <w:b/>
      <w:sz w:val="24"/>
    </w:rPr>
  </w:style>
  <w:style w:type="paragraph" w:customStyle="1" w:styleId="51">
    <w:name w:val="Table Text"/>
    <w:basedOn w:val="1"/>
    <w:autoRedefine/>
    <w:semiHidden/>
    <w:qFormat/>
    <w:uiPriority w:val="0"/>
    <w:rPr>
      <w:rFonts w:ascii="宋体" w:hAnsi="宋体" w:eastAsia="宋体" w:cs="宋体"/>
      <w:sz w:val="20"/>
      <w:szCs w:val="20"/>
      <w:lang w:eastAsia="en-US"/>
    </w:rPr>
  </w:style>
  <w:style w:type="table" w:customStyle="1" w:styleId="52">
    <w:name w:val="Table Normal"/>
    <w:autoRedefine/>
    <w:semiHidden/>
    <w:unhideWhenUsed/>
    <w:qFormat/>
    <w:uiPriority w:val="2"/>
    <w:tblPr>
      <w:tblCellMar>
        <w:top w:w="0" w:type="dxa"/>
        <w:left w:w="0" w:type="dxa"/>
        <w:bottom w:w="0" w:type="dxa"/>
        <w:right w:w="0" w:type="dxa"/>
      </w:tblCellMar>
    </w:tblPr>
  </w:style>
  <w:style w:type="paragraph" w:customStyle="1" w:styleId="53">
    <w:name w:val="WPSOffice手动目录 1"/>
    <w:autoRedefine/>
    <w:qFormat/>
    <w:uiPriority w:val="0"/>
    <w:rPr>
      <w:rFonts w:ascii="Times New Roman" w:hAnsi="Times New Roman" w:eastAsia="宋体" w:cs="Times New Roman"/>
      <w:lang w:val="en-US" w:eastAsia="zh-CN" w:bidi="ar-SA"/>
    </w:rPr>
  </w:style>
  <w:style w:type="paragraph" w:customStyle="1" w:styleId="54">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55">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6">
    <w:name w:val="font31"/>
    <w:basedOn w:val="27"/>
    <w:autoRedefine/>
    <w:qFormat/>
    <w:uiPriority w:val="0"/>
    <w:rPr>
      <w:rFonts w:ascii="仿宋_GB2312" w:eastAsia="仿宋_GB2312" w:cs="仿宋_GB2312"/>
      <w:color w:val="000000"/>
      <w:sz w:val="20"/>
      <w:szCs w:val="20"/>
      <w:u w:val="none"/>
    </w:rPr>
  </w:style>
  <w:style w:type="character" w:customStyle="1" w:styleId="57">
    <w:name w:val="font21"/>
    <w:basedOn w:val="27"/>
    <w:autoRedefine/>
    <w:qFormat/>
    <w:uiPriority w:val="0"/>
    <w:rPr>
      <w:rFonts w:hint="default" w:ascii="Times New Roman" w:hAnsi="Times New Roman" w:cs="Times New Roman"/>
      <w:color w:val="000000"/>
      <w:sz w:val="20"/>
      <w:szCs w:val="20"/>
      <w:u w:val="none"/>
    </w:rPr>
  </w:style>
  <w:style w:type="character" w:customStyle="1" w:styleId="58">
    <w:name w:val="font41"/>
    <w:basedOn w:val="27"/>
    <w:autoRedefine/>
    <w:qFormat/>
    <w:uiPriority w:val="0"/>
    <w:rPr>
      <w:rFonts w:hint="default" w:ascii="仿宋_GB2312" w:eastAsia="仿宋_GB2312" w:cs="仿宋_GB2312"/>
      <w:color w:val="000000"/>
      <w:sz w:val="20"/>
      <w:szCs w:val="20"/>
      <w:u w:val="none"/>
    </w:rPr>
  </w:style>
  <w:style w:type="character" w:customStyle="1" w:styleId="59">
    <w:name w:val="font131"/>
    <w:basedOn w:val="27"/>
    <w:autoRedefine/>
    <w:qFormat/>
    <w:uiPriority w:val="0"/>
    <w:rPr>
      <w:rFonts w:ascii="微软雅黑" w:hAnsi="微软雅黑" w:eastAsia="微软雅黑" w:cs="微软雅黑"/>
      <w:b/>
      <w:bCs/>
      <w:color w:val="000000"/>
      <w:sz w:val="22"/>
      <w:szCs w:val="22"/>
      <w:u w:val="none"/>
    </w:rPr>
  </w:style>
  <w:style w:type="character" w:customStyle="1" w:styleId="60">
    <w:name w:val="font141"/>
    <w:basedOn w:val="27"/>
    <w:autoRedefine/>
    <w:qFormat/>
    <w:uiPriority w:val="0"/>
    <w:rPr>
      <w:rFonts w:hint="eastAsia" w:ascii="微软雅黑" w:hAnsi="微软雅黑" w:eastAsia="微软雅黑" w:cs="微软雅黑"/>
      <w:color w:val="FFFFFF"/>
      <w:sz w:val="22"/>
      <w:szCs w:val="22"/>
      <w:u w:val="none"/>
    </w:rPr>
  </w:style>
  <w:style w:type="character" w:customStyle="1" w:styleId="61">
    <w:name w:val="font101"/>
    <w:basedOn w:val="27"/>
    <w:autoRedefine/>
    <w:qFormat/>
    <w:uiPriority w:val="0"/>
    <w:rPr>
      <w:rFonts w:hint="eastAsia" w:ascii="宋体" w:hAnsi="宋体" w:eastAsia="宋体" w:cs="宋体"/>
      <w:color w:val="000000"/>
      <w:sz w:val="22"/>
      <w:szCs w:val="22"/>
      <w:u w:val="none"/>
    </w:rPr>
  </w:style>
  <w:style w:type="character" w:customStyle="1" w:styleId="62">
    <w:name w:val="font11"/>
    <w:basedOn w:val="27"/>
    <w:autoRedefine/>
    <w:qFormat/>
    <w:uiPriority w:val="0"/>
    <w:rPr>
      <w:rFonts w:hint="default" w:ascii="Arial" w:hAnsi="Arial" w:cs="Arial"/>
      <w:color w:val="000000"/>
      <w:sz w:val="22"/>
      <w:szCs w:val="22"/>
      <w:u w:val="none"/>
    </w:rPr>
  </w:style>
  <w:style w:type="character" w:customStyle="1" w:styleId="63">
    <w:name w:val="font112"/>
    <w:basedOn w:val="27"/>
    <w:autoRedefine/>
    <w:qFormat/>
    <w:uiPriority w:val="0"/>
    <w:rPr>
      <w:rFonts w:ascii="Segoe UI Symbol" w:hAnsi="Segoe UI Symbol" w:eastAsia="Segoe UI Symbol" w:cs="Segoe UI Symbol"/>
      <w:color w:val="000000"/>
      <w:sz w:val="22"/>
      <w:szCs w:val="22"/>
      <w:u w:val="none"/>
    </w:rPr>
  </w:style>
  <w:style w:type="character" w:customStyle="1" w:styleId="64">
    <w:name w:val="font61"/>
    <w:basedOn w:val="27"/>
    <w:autoRedefine/>
    <w:qFormat/>
    <w:uiPriority w:val="0"/>
    <w:rPr>
      <w:rFonts w:hint="eastAsia" w:ascii="宋体" w:hAnsi="宋体" w:eastAsia="宋体" w:cs="宋体"/>
      <w:color w:val="FFFFFF"/>
      <w:sz w:val="22"/>
      <w:szCs w:val="22"/>
      <w:u w:val="none"/>
    </w:rPr>
  </w:style>
  <w:style w:type="character" w:customStyle="1" w:styleId="65">
    <w:name w:val="批注文字 字符"/>
    <w:basedOn w:val="27"/>
    <w:link w:val="14"/>
    <w:autoRedefine/>
    <w:semiHidden/>
    <w:qFormat/>
    <w:uiPriority w:val="99"/>
    <w:rPr>
      <w:rFonts w:eastAsia="仿宋" w:cstheme="minorBidi"/>
      <w:kern w:val="2"/>
      <w:sz w:val="28"/>
      <w:szCs w:val="22"/>
    </w:rPr>
  </w:style>
  <w:style w:type="character" w:customStyle="1" w:styleId="66">
    <w:name w:val="批注主题 字符"/>
    <w:basedOn w:val="65"/>
    <w:link w:val="24"/>
    <w:autoRedefine/>
    <w:semiHidden/>
    <w:qFormat/>
    <w:uiPriority w:val="99"/>
    <w:rPr>
      <w:rFonts w:eastAsia="仿宋" w:cstheme="minorBidi"/>
      <w:b/>
      <w:bCs/>
      <w:kern w:val="2"/>
      <w:sz w:val="28"/>
      <w:szCs w:val="22"/>
    </w:rPr>
  </w:style>
  <w:style w:type="character" w:customStyle="1" w:styleId="67">
    <w:name w:val="font51"/>
    <w:basedOn w:val="27"/>
    <w:qFormat/>
    <w:uiPriority w:val="0"/>
    <w:rPr>
      <w:rFonts w:ascii="微软雅黑" w:hAnsi="微软雅黑" w:eastAsia="微软雅黑" w:cs="微软雅黑"/>
      <w:color w:val="000000"/>
      <w:sz w:val="22"/>
      <w:szCs w:val="22"/>
      <w:u w:val="none"/>
    </w:rPr>
  </w:style>
  <w:style w:type="paragraph" w:customStyle="1" w:styleId="68">
    <w:name w:val="修订1"/>
    <w:hidden/>
    <w:unhideWhenUsed/>
    <w:qFormat/>
    <w:uiPriority w:val="99"/>
    <w:rPr>
      <w:rFonts w:ascii="Times New Roman" w:hAnsi="Times New Roman" w:eastAsia="仿宋" w:cstheme="minorBidi"/>
      <w:kern w:val="2"/>
      <w:sz w:val="28"/>
      <w:szCs w:val="22"/>
      <w:lang w:val="en-US" w:eastAsia="zh-CN" w:bidi="ar-SA"/>
    </w:rPr>
  </w:style>
  <w:style w:type="paragraph" w:customStyle="1" w:styleId="69">
    <w:name w:val="表格标题"/>
    <w:basedOn w:val="1"/>
    <w:next w:val="39"/>
    <w:autoRedefine/>
    <w:qFormat/>
    <w:uiPriority w:val="0"/>
    <w:pPr>
      <w:jc w:val="center"/>
    </w:pPr>
    <w:rPr>
      <w:b/>
    </w:rPr>
  </w:style>
  <w:style w:type="paragraph" w:customStyle="1" w:styleId="70">
    <w:name w:val="cucd-0"/>
    <w:basedOn w:val="71"/>
    <w:autoRedefine/>
    <w:qFormat/>
    <w:uiPriority w:val="0"/>
  </w:style>
  <w:style w:type="paragraph" w:customStyle="1" w:styleId="71">
    <w:name w:val="cauc-0"/>
    <w:autoRedefine/>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72">
    <w:name w:val="cucd-4"/>
    <w:basedOn w:val="73"/>
    <w:next w:val="70"/>
    <w:autoRedefine/>
    <w:qFormat/>
    <w:uiPriority w:val="0"/>
    <w:pPr>
      <w:numPr>
        <w:ilvl w:val="3"/>
        <w:numId w:val="2"/>
      </w:numPr>
      <w:tabs>
        <w:tab w:val="left" w:pos="0"/>
        <w:tab w:val="clear" w:pos="851"/>
      </w:tabs>
      <w:ind w:left="0"/>
      <w:outlineLvl w:val="3"/>
    </w:pPr>
    <w:rPr>
      <w:b/>
    </w:rPr>
  </w:style>
  <w:style w:type="paragraph" w:customStyle="1" w:styleId="73">
    <w:name w:val="+cucd-0"/>
    <w:autoRedefine/>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74">
    <w:name w:val="cucd-TB-Head"/>
    <w:basedOn w:val="1"/>
    <w:next w:val="70"/>
    <w:autoRedefine/>
    <w:qFormat/>
    <w:uiPriority w:val="0"/>
    <w:pPr>
      <w:jc w:val="center"/>
    </w:pPr>
    <w:rPr>
      <w:rFonts w:eastAsia="黑体"/>
      <w:sz w:val="24"/>
    </w:rPr>
  </w:style>
  <w:style w:type="paragraph" w:customStyle="1" w:styleId="75">
    <w:name w:val="cucd-TB"/>
    <w:autoRedefine/>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76">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77">
    <w:name w:val="cucd-3"/>
    <w:next w:val="72"/>
    <w:autoRedefine/>
    <w:qFormat/>
    <w:uiPriority w:val="0"/>
    <w:pPr>
      <w:numPr>
        <w:ilvl w:val="2"/>
        <w:numId w:val="2"/>
      </w:numPr>
      <w:tabs>
        <w:tab w:val="left" w:pos="425"/>
      </w:tabs>
      <w:spacing w:line="360" w:lineRule="auto"/>
      <w:outlineLvl w:val="2"/>
    </w:pPr>
    <w:rPr>
      <w:rFonts w:ascii="Times New Roman" w:hAnsi="Times New Roman" w:eastAsia="宋体" w:cs="Times New Roman"/>
      <w:b/>
      <w:kern w:val="2"/>
      <w:sz w:val="28"/>
      <w:szCs w:val="24"/>
      <w:lang w:val="en-US" w:eastAsia="zh-CN" w:bidi="ar-SA"/>
    </w:rPr>
  </w:style>
  <w:style w:type="paragraph" w:customStyle="1" w:styleId="78">
    <w:name w:val="三亚正文"/>
    <w:basedOn w:val="1"/>
    <w:autoRedefine/>
    <w:qFormat/>
    <w:uiPriority w:val="0"/>
    <w:pPr>
      <w:ind w:firstLine="200" w:firstLineChars="200"/>
    </w:pPr>
    <w:rPr>
      <w:sz w:val="24"/>
    </w:rPr>
  </w:style>
  <w:style w:type="paragraph" w:customStyle="1" w:styleId="79">
    <w:name w:val="章丘正文"/>
    <w:basedOn w:val="1"/>
    <w:autoRedefine/>
    <w:qFormat/>
    <w:uiPriority w:val="0"/>
    <w:pPr>
      <w:ind w:firstLine="200" w:firstLineChars="200"/>
    </w:pPr>
    <w:rPr>
      <w:sz w:val="24"/>
    </w:rPr>
  </w:style>
  <w:style w:type="paragraph" w:customStyle="1" w:styleId="80">
    <w:name w:val="标准首行缩进"/>
    <w:autoRedefine/>
    <w:qFormat/>
    <w:uiPriority w:val="0"/>
    <w:pPr>
      <w:widowControl w:val="0"/>
      <w:adjustRightInd w:val="0"/>
      <w:snapToGrid w:val="0"/>
      <w:spacing w:line="360" w:lineRule="auto"/>
      <w:ind w:firstLine="420" w:firstLineChars="200"/>
      <w:jc w:val="both"/>
    </w:pPr>
    <w:rPr>
      <w:rFonts w:ascii="Times New Roman" w:hAnsi="Times New Roman" w:eastAsia="宋体" w:cs="宋体"/>
      <w:sz w:val="24"/>
      <w:szCs w:val="24"/>
      <w:lang w:val="en-US" w:eastAsia="zh-CN" w:bidi="ar-SA"/>
    </w:rPr>
  </w:style>
  <w:style w:type="paragraph" w:customStyle="1" w:styleId="81">
    <w:name w:val="样式1"/>
    <w:basedOn w:val="1"/>
    <w:link w:val="82"/>
    <w:qFormat/>
    <w:uiPriority w:val="0"/>
    <w:pPr>
      <w:keepNext w:val="0"/>
      <w:keepLines w:val="0"/>
      <w:widowControl w:val="0"/>
      <w:numPr>
        <w:ilvl w:val="0"/>
        <w:numId w:val="3"/>
      </w:numPr>
      <w:suppressLineNumbers w:val="0"/>
      <w:spacing w:before="0" w:beforeAutospacing="0" w:after="0" w:afterAutospacing="0" w:line="560" w:lineRule="exact"/>
      <w:ind w:left="0" w:right="0" w:firstLine="0"/>
      <w:jc w:val="center"/>
    </w:pPr>
    <w:rPr>
      <w:rFonts w:hint="default" w:ascii="Times New Roman" w:hAnsi="Times New Roman" w:eastAsia="仿宋_GB2312" w:cs="Times New Roman"/>
      <w:kern w:val="2"/>
      <w:sz w:val="28"/>
      <w:szCs w:val="21"/>
      <w:lang w:val="en-US" w:eastAsia="zh-CN" w:bidi="ar"/>
    </w:rPr>
  </w:style>
  <w:style w:type="character" w:customStyle="1" w:styleId="82">
    <w:name w:val="样式1 字符"/>
    <w:basedOn w:val="27"/>
    <w:link w:val="81"/>
    <w:qFormat/>
    <w:uiPriority w:val="0"/>
    <w:rPr>
      <w:rFonts w:hint="default" w:ascii="Times New Roman" w:hAnsi="Times New Roman" w:eastAsia="仿宋_GB2312" w:cs="Times New Roman"/>
      <w:kern w:val="2"/>
      <w:sz w:val="28"/>
      <w:szCs w:val="21"/>
    </w:rPr>
  </w:style>
  <w:style w:type="character" w:customStyle="1" w:styleId="83">
    <w:name w:val="表格标题 字符"/>
    <w:basedOn w:val="27"/>
    <w:qFormat/>
    <w:uiPriority w:val="0"/>
    <w:rPr>
      <w:rFonts w:hint="default" w:ascii="Times New Roman" w:hAnsi="Times New Roman" w:eastAsia="仿宋" w:cs="Times New Roman"/>
      <w:b/>
      <w:kern w:val="2"/>
      <w:sz w:val="28"/>
      <w:szCs w:val="21"/>
    </w:rPr>
  </w:style>
  <w:style w:type="paragraph" w:customStyle="1" w:styleId="84">
    <w:name w:val="msolistparagraph"/>
    <w:basedOn w:val="1"/>
    <w:qFormat/>
    <w:uiPriority w:val="0"/>
    <w:pPr>
      <w:keepNext w:val="0"/>
      <w:keepLines w:val="0"/>
      <w:widowControl w:val="0"/>
      <w:suppressLineNumbers w:val="0"/>
      <w:tabs>
        <w:tab w:val="left" w:pos="993"/>
      </w:tabs>
      <w:adjustRightInd w:val="0"/>
      <w:snapToGrid w:val="0"/>
      <w:spacing w:before="156" w:beforeLines="50" w:beforeAutospacing="0" w:after="156" w:afterLines="50" w:afterAutospacing="0" w:line="360" w:lineRule="auto"/>
      <w:ind w:left="0" w:right="0" w:firstLine="0" w:firstLineChars="0"/>
      <w:jc w:val="both"/>
    </w:pPr>
    <w:rPr>
      <w:rFonts w:hint="eastAsia" w:ascii="仿宋" w:hAnsi="仿宋" w:eastAsia="仿宋" w:cs="Times New Roman"/>
      <w:snapToGrid/>
      <w:kern w:val="2"/>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wmf"/><Relationship Id="rId37" Type="http://schemas.openxmlformats.org/officeDocument/2006/relationships/oleObject" Target="embeddings/oleObject3.bin"/><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oleObject" Target="embeddings/oleObject2.bin"/><Relationship Id="rId30" Type="http://schemas.openxmlformats.org/officeDocument/2006/relationships/image" Target="media/image18.e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基础模板-双击可用于新建任意文件</Template>
  <Pages>333</Pages>
  <Words>1669</Words>
  <Characters>1790</Characters>
  <Lines>1642</Lines>
  <Paragraphs>462</Paragraphs>
  <TotalTime>4</TotalTime>
  <ScaleCrop>false</ScaleCrop>
  <LinksUpToDate>false</LinksUpToDate>
  <CharactersWithSpaces>2024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2024-06-14T05:41:00Z</dcterms:created>
  <dc:creator>鳐</dc:creator>
  <cp:lastModifiedBy>WPS_1716952884</cp:lastModifiedBy>
  <cp:lastPrinted>2024-10-30T07:18:00Z</cp:lastPrinted>
  <dcterms:modified xsi:type="dcterms:W3CDTF">2026-02-11T01:53:51Z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C4FFBCD7705942329B77F3AB705EC659_13</vt:lpwstr>
  </property>
  <property fmtid="{D5CDD505-2E9C-101B-9397-08002B2CF9AE}" pid="4" name="KSOTemplateDocerSaveRecord">
    <vt:lpwstr>eyJoZGlkIjoiN2VjZmUxZTY3N2NiNDY3M2QwYTcwODU3NDY0YWMxN2QiLCJ1c2VySWQiOiIxNjAyODA3ODY2In0=</vt:lpwstr>
  </property>
</Properties>
</file>